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E6F4C" w14:textId="77777777" w:rsidR="005116AA" w:rsidRPr="00ED3640" w:rsidRDefault="005116AA" w:rsidP="005116AA">
      <w:pPr>
        <w:jc w:val="center"/>
        <w:rPr>
          <w:rFonts w:ascii="Calibri" w:hAnsi="Calibri" w:cs="Times New Roman"/>
          <w:b/>
          <w:sz w:val="24"/>
          <w:szCs w:val="24"/>
        </w:rPr>
      </w:pPr>
      <w:r w:rsidRPr="00ED3640">
        <w:rPr>
          <w:rFonts w:ascii="Calibri" w:hAnsi="Calibri" w:cs="Times New Roman"/>
          <w:b/>
          <w:sz w:val="24"/>
          <w:szCs w:val="24"/>
        </w:rPr>
        <w:t>GPC Protection Conference</w:t>
      </w:r>
    </w:p>
    <w:p w14:paraId="4975AF4C" w14:textId="0E34166A" w:rsidR="005116AA" w:rsidRPr="00672882" w:rsidRDefault="005116AA" w:rsidP="00672882">
      <w:pPr>
        <w:jc w:val="center"/>
        <w:rPr>
          <w:rFonts w:ascii="Calibri" w:hAnsi="Calibri" w:cs="Times New Roman"/>
          <w:b/>
          <w:sz w:val="24"/>
          <w:szCs w:val="24"/>
        </w:rPr>
      </w:pPr>
      <w:r w:rsidRPr="00ED3640">
        <w:rPr>
          <w:rFonts w:ascii="Calibri" w:hAnsi="Calibri" w:cs="Times New Roman"/>
          <w:b/>
          <w:sz w:val="24"/>
          <w:szCs w:val="24"/>
        </w:rPr>
        <w:t xml:space="preserve">GBV </w:t>
      </w:r>
      <w:proofErr w:type="spellStart"/>
      <w:r w:rsidRPr="00ED3640">
        <w:rPr>
          <w:rFonts w:ascii="Calibri" w:hAnsi="Calibri" w:cs="Times New Roman"/>
          <w:b/>
          <w:sz w:val="24"/>
          <w:szCs w:val="24"/>
        </w:rPr>
        <w:t>AoR</w:t>
      </w:r>
      <w:proofErr w:type="spellEnd"/>
      <w:r w:rsidRPr="00ED3640">
        <w:rPr>
          <w:rFonts w:ascii="Calibri" w:hAnsi="Calibri" w:cs="Times New Roman"/>
          <w:b/>
          <w:sz w:val="24"/>
          <w:szCs w:val="24"/>
        </w:rPr>
        <w:t xml:space="preserve"> Sessions, 28-29 May 2018</w:t>
      </w:r>
    </w:p>
    <w:p w14:paraId="42D2C941" w14:textId="77777777" w:rsidR="005116AA" w:rsidRPr="00ED3640" w:rsidRDefault="005116AA" w:rsidP="005116AA">
      <w:pPr>
        <w:pBdr>
          <w:bottom w:val="single" w:sz="4" w:space="1" w:color="auto"/>
        </w:pBdr>
        <w:rPr>
          <w:rFonts w:ascii="Calibri" w:hAnsi="Calibri" w:cs="Times New Roman"/>
          <w:b/>
          <w:sz w:val="24"/>
          <w:szCs w:val="24"/>
        </w:rPr>
      </w:pPr>
    </w:p>
    <w:p w14:paraId="2B7FA9DE" w14:textId="06F8F5D7" w:rsidR="005116AA" w:rsidRPr="00ED3640" w:rsidRDefault="005116AA" w:rsidP="005116AA">
      <w:pPr>
        <w:pBdr>
          <w:bottom w:val="single" w:sz="4" w:space="1" w:color="auto"/>
        </w:pBdr>
        <w:rPr>
          <w:rFonts w:ascii="Calibri" w:hAnsi="Calibri" w:cs="Times New Roman"/>
          <w:b/>
          <w:sz w:val="24"/>
          <w:szCs w:val="24"/>
        </w:rPr>
      </w:pPr>
      <w:r w:rsidRPr="00ED3640">
        <w:rPr>
          <w:rFonts w:ascii="Calibri" w:hAnsi="Calibri" w:cs="Times New Roman"/>
          <w:b/>
          <w:sz w:val="24"/>
          <w:szCs w:val="24"/>
        </w:rPr>
        <w:t xml:space="preserve">Title of session: </w:t>
      </w:r>
      <w:r w:rsidR="003B554B" w:rsidRPr="00ED3640">
        <w:rPr>
          <w:rFonts w:ascii="Calibri" w:hAnsi="Calibri" w:cs="Times New Roman"/>
          <w:b/>
          <w:sz w:val="24"/>
          <w:szCs w:val="24"/>
        </w:rPr>
        <w:t>IASC Disability Guidelines – GBV Prevention and Response</w:t>
      </w:r>
      <w:r w:rsidR="004D1527">
        <w:rPr>
          <w:rFonts w:ascii="Calibri" w:hAnsi="Calibri" w:cs="Times New Roman"/>
          <w:b/>
          <w:sz w:val="24"/>
          <w:szCs w:val="24"/>
        </w:rPr>
        <w:t xml:space="preserve"> – Consultation </w:t>
      </w:r>
      <w:bookmarkStart w:id="0" w:name="_GoBack"/>
      <w:bookmarkEnd w:id="0"/>
    </w:p>
    <w:p w14:paraId="5BA468A9" w14:textId="77777777" w:rsidR="005116AA" w:rsidRPr="00ED3640" w:rsidRDefault="005116AA" w:rsidP="00F43363">
      <w:pPr>
        <w:rPr>
          <w:rFonts w:ascii="Calibri" w:hAnsi="Calibri" w:cs="Times New Roman"/>
          <w:sz w:val="24"/>
          <w:szCs w:val="24"/>
        </w:rPr>
      </w:pPr>
    </w:p>
    <w:p w14:paraId="1362155E" w14:textId="01E2D129" w:rsidR="00722AF0" w:rsidRPr="00C019A2" w:rsidRDefault="005116AA" w:rsidP="00722AF0">
      <w:pPr>
        <w:rPr>
          <w:rFonts w:ascii="Calibri" w:hAnsi="Calibri" w:cs="Times New Roman"/>
          <w:b/>
          <w:sz w:val="24"/>
          <w:szCs w:val="24"/>
        </w:rPr>
      </w:pPr>
      <w:r w:rsidRPr="00ED3640">
        <w:rPr>
          <w:rFonts w:ascii="Calibri" w:hAnsi="Calibri" w:cs="Times New Roman"/>
          <w:b/>
          <w:sz w:val="24"/>
          <w:szCs w:val="24"/>
        </w:rPr>
        <w:t>Key points of the initial presentation</w:t>
      </w:r>
    </w:p>
    <w:p w14:paraId="6F93D0C7" w14:textId="34DA6F6C" w:rsidR="00722AF0" w:rsidRPr="00722AF0" w:rsidRDefault="00722AF0" w:rsidP="00722AF0">
      <w:pPr>
        <w:rPr>
          <w:rFonts w:ascii="Calibri" w:hAnsi="Calibri" w:cs="Times New Roman"/>
          <w:sz w:val="24"/>
          <w:szCs w:val="24"/>
          <w:u w:val="single"/>
        </w:rPr>
      </w:pPr>
      <w:r w:rsidRPr="00722AF0">
        <w:rPr>
          <w:rFonts w:ascii="Calibri" w:hAnsi="Calibri" w:cs="Times New Roman"/>
          <w:sz w:val="24"/>
          <w:szCs w:val="24"/>
          <w:u w:val="single"/>
        </w:rPr>
        <w:t>Briefing on the IASC Disability Guidelines development process</w:t>
      </w:r>
    </w:p>
    <w:p w14:paraId="34FDD820" w14:textId="730ACA91" w:rsidR="00722AF0" w:rsidRDefault="00722AF0" w:rsidP="00722AF0">
      <w:pPr>
        <w:rPr>
          <w:sz w:val="24"/>
          <w:szCs w:val="24"/>
        </w:rPr>
      </w:pPr>
      <w:r w:rsidRPr="00722AF0">
        <w:rPr>
          <w:sz w:val="24"/>
          <w:szCs w:val="24"/>
        </w:rPr>
        <w:t xml:space="preserve">In 2016, the United Nations Inter-Agency Standing Committee (IASC) Working Group established a Task Team to develop IASC Guidelines on Inclusion of Persons with Disabilities in Humanitarian Action (herein referred to as IASC Disability Guidelines). The Task Team is co-chaired by the International Disability Alliance, Handicap International and UNICEF. Further details on the Task Team, including Terms of Reference and Work Plan, can be found on the IASC website: </w:t>
      </w:r>
      <w:hyperlink r:id="rId8" w:history="1">
        <w:r w:rsidRPr="00722AF0">
          <w:rPr>
            <w:rStyle w:val="Hyperlink"/>
            <w:sz w:val="24"/>
            <w:szCs w:val="24"/>
          </w:rPr>
          <w:t>https://interagencystandingcommittee.org/iasc-task-team-inclusion-persons-disabilities-humanitarian-action</w:t>
        </w:r>
      </w:hyperlink>
    </w:p>
    <w:p w14:paraId="2488B529" w14:textId="77777777" w:rsidR="00722AF0" w:rsidRPr="00722AF0" w:rsidRDefault="00722AF0" w:rsidP="00722AF0">
      <w:pPr>
        <w:rPr>
          <w:sz w:val="24"/>
          <w:szCs w:val="24"/>
        </w:rPr>
      </w:pPr>
    </w:p>
    <w:p w14:paraId="39F77979" w14:textId="77777777" w:rsidR="00722AF0" w:rsidRPr="00722AF0" w:rsidRDefault="00722AF0" w:rsidP="00722AF0">
      <w:pPr>
        <w:rPr>
          <w:sz w:val="24"/>
          <w:szCs w:val="24"/>
        </w:rPr>
      </w:pPr>
      <w:r w:rsidRPr="00722AF0">
        <w:rPr>
          <w:sz w:val="24"/>
          <w:szCs w:val="24"/>
        </w:rPr>
        <w:t xml:space="preserve">The development of IASC Disability Guidelines mark a significant step in advancing accountability for the inclusion of persons with disabilities within the inter-agency coordination mechanism. Ensuring non-discrimination requires that such guidelines be gender-sensitive, as well as relevant and appropriate to GBV actors working humanitarian settings globally. </w:t>
      </w:r>
    </w:p>
    <w:p w14:paraId="381189EC" w14:textId="13E4E307" w:rsidR="00722AF0" w:rsidRDefault="00722AF0" w:rsidP="00722AF0">
      <w:pPr>
        <w:rPr>
          <w:rFonts w:ascii="Calibri" w:hAnsi="Calibri" w:cs="Times New Roman"/>
          <w:sz w:val="24"/>
          <w:szCs w:val="24"/>
        </w:rPr>
      </w:pPr>
    </w:p>
    <w:p w14:paraId="605FDA1E" w14:textId="0F867220" w:rsidR="00722AF0" w:rsidRPr="00722AF0" w:rsidRDefault="00722AF0" w:rsidP="00722AF0">
      <w:pPr>
        <w:rPr>
          <w:rFonts w:ascii="Calibri" w:hAnsi="Calibri" w:cs="Times New Roman"/>
          <w:sz w:val="24"/>
          <w:szCs w:val="24"/>
        </w:rPr>
      </w:pPr>
      <w:r w:rsidRPr="00722AF0">
        <w:rPr>
          <w:rFonts w:ascii="Calibri" w:hAnsi="Calibri" w:cs="Times New Roman"/>
          <w:sz w:val="24"/>
          <w:szCs w:val="24"/>
        </w:rPr>
        <w:t>Upcoming activities</w:t>
      </w:r>
      <w:r>
        <w:rPr>
          <w:rFonts w:ascii="Calibri" w:hAnsi="Calibri" w:cs="Times New Roman"/>
          <w:sz w:val="24"/>
          <w:szCs w:val="24"/>
        </w:rPr>
        <w:t xml:space="preserve"> in the IASC Disability Guidelines development</w:t>
      </w:r>
      <w:r w:rsidRPr="00722AF0">
        <w:rPr>
          <w:rFonts w:ascii="Calibri" w:hAnsi="Calibri" w:cs="Times New Roman"/>
          <w:sz w:val="24"/>
          <w:szCs w:val="24"/>
        </w:rPr>
        <w:t>:</w:t>
      </w:r>
    </w:p>
    <w:p w14:paraId="583FA111" w14:textId="77777777" w:rsidR="00722AF0" w:rsidRPr="00722AF0" w:rsidRDefault="00722AF0" w:rsidP="00722AF0">
      <w:pPr>
        <w:pStyle w:val="ListParagraph"/>
        <w:numPr>
          <w:ilvl w:val="0"/>
          <w:numId w:val="8"/>
        </w:numPr>
        <w:rPr>
          <w:rFonts w:ascii="Calibri" w:hAnsi="Calibri" w:cs="Times New Roman"/>
          <w:sz w:val="24"/>
          <w:szCs w:val="24"/>
        </w:rPr>
      </w:pPr>
      <w:r w:rsidRPr="00722AF0">
        <w:rPr>
          <w:rFonts w:ascii="Calibri" w:hAnsi="Calibri" w:cs="Times New Roman"/>
          <w:sz w:val="24"/>
          <w:szCs w:val="24"/>
        </w:rPr>
        <w:t>Revising Draft 1 based on feedback from Task Team, regional consultations and online survey.</w:t>
      </w:r>
    </w:p>
    <w:p w14:paraId="1C12DFCC" w14:textId="3D8F5F9C" w:rsidR="00722AF0" w:rsidRPr="00722AF0" w:rsidRDefault="00722AF0" w:rsidP="00722AF0">
      <w:pPr>
        <w:pStyle w:val="ListParagraph"/>
        <w:numPr>
          <w:ilvl w:val="0"/>
          <w:numId w:val="8"/>
        </w:numPr>
        <w:rPr>
          <w:rFonts w:ascii="Calibri" w:hAnsi="Calibri" w:cs="Times New Roman"/>
          <w:sz w:val="24"/>
          <w:szCs w:val="24"/>
        </w:rPr>
      </w:pPr>
      <w:r w:rsidRPr="00722AF0">
        <w:rPr>
          <w:rFonts w:ascii="Calibri" w:hAnsi="Calibri" w:cs="Times New Roman"/>
          <w:sz w:val="24"/>
          <w:szCs w:val="24"/>
        </w:rPr>
        <w:t>Drafting Part 3 – Sector-specific sections of the Guidance</w:t>
      </w:r>
      <w:r w:rsidR="00A36DDD">
        <w:rPr>
          <w:rFonts w:ascii="Calibri" w:hAnsi="Calibri" w:cs="Times New Roman"/>
          <w:sz w:val="24"/>
          <w:szCs w:val="24"/>
        </w:rPr>
        <w:t xml:space="preserve"> – by sectoral working groups.</w:t>
      </w:r>
    </w:p>
    <w:p w14:paraId="1B2047B0" w14:textId="73F71106" w:rsidR="00722AF0" w:rsidRPr="00722AF0" w:rsidRDefault="00722AF0" w:rsidP="00722AF0">
      <w:pPr>
        <w:pStyle w:val="ListParagraph"/>
        <w:numPr>
          <w:ilvl w:val="0"/>
          <w:numId w:val="8"/>
        </w:numPr>
        <w:rPr>
          <w:rFonts w:ascii="Calibri" w:hAnsi="Calibri" w:cs="Times New Roman"/>
          <w:sz w:val="24"/>
          <w:szCs w:val="24"/>
        </w:rPr>
      </w:pPr>
      <w:r w:rsidRPr="00722AF0">
        <w:rPr>
          <w:rFonts w:ascii="Calibri" w:hAnsi="Calibri" w:cs="Times New Roman"/>
          <w:sz w:val="24"/>
          <w:szCs w:val="24"/>
        </w:rPr>
        <w:t>Piloting the Guidance in humanitarian settings</w:t>
      </w:r>
      <w:r w:rsidR="00A36DDD">
        <w:rPr>
          <w:rFonts w:ascii="Calibri" w:hAnsi="Calibri" w:cs="Times New Roman"/>
          <w:sz w:val="24"/>
          <w:szCs w:val="24"/>
        </w:rPr>
        <w:t xml:space="preserve"> (late 2018)</w:t>
      </w:r>
      <w:r w:rsidRPr="00722AF0">
        <w:rPr>
          <w:rFonts w:ascii="Calibri" w:hAnsi="Calibri" w:cs="Times New Roman"/>
          <w:sz w:val="24"/>
          <w:szCs w:val="24"/>
        </w:rPr>
        <w:t>.</w:t>
      </w:r>
    </w:p>
    <w:p w14:paraId="406AF5B7" w14:textId="77777777" w:rsidR="00722AF0" w:rsidRPr="00722AF0" w:rsidRDefault="00722AF0" w:rsidP="00722AF0">
      <w:pPr>
        <w:pStyle w:val="ListParagraph"/>
        <w:numPr>
          <w:ilvl w:val="0"/>
          <w:numId w:val="8"/>
        </w:numPr>
        <w:rPr>
          <w:rFonts w:ascii="Calibri" w:hAnsi="Calibri" w:cs="Times New Roman"/>
          <w:sz w:val="24"/>
          <w:szCs w:val="24"/>
        </w:rPr>
      </w:pPr>
      <w:r w:rsidRPr="00722AF0">
        <w:rPr>
          <w:rFonts w:ascii="Calibri" w:hAnsi="Calibri" w:cs="Times New Roman"/>
          <w:sz w:val="24"/>
          <w:szCs w:val="24"/>
        </w:rPr>
        <w:t>Launch and roll-out of the Guidance (early 2019).</w:t>
      </w:r>
    </w:p>
    <w:p w14:paraId="27BD1DEE" w14:textId="77777777" w:rsidR="00722AF0" w:rsidRPr="00A36DDD" w:rsidRDefault="00722AF0" w:rsidP="00722AF0">
      <w:pPr>
        <w:rPr>
          <w:rFonts w:cstheme="minorHAnsi"/>
          <w:sz w:val="24"/>
          <w:szCs w:val="24"/>
        </w:rPr>
      </w:pPr>
    </w:p>
    <w:p w14:paraId="2290784A" w14:textId="45CDA84E" w:rsidR="00722AF0" w:rsidRPr="00A36DDD" w:rsidRDefault="00722AF0" w:rsidP="00A36DDD">
      <w:pPr>
        <w:rPr>
          <w:rFonts w:ascii="Calibri" w:hAnsi="Calibri" w:cs="Times New Roman"/>
          <w:sz w:val="24"/>
          <w:szCs w:val="24"/>
          <w:u w:val="single"/>
        </w:rPr>
      </w:pPr>
      <w:r w:rsidRPr="00A36DDD">
        <w:rPr>
          <w:rFonts w:ascii="Calibri" w:hAnsi="Calibri" w:cs="Times New Roman"/>
          <w:sz w:val="24"/>
          <w:szCs w:val="24"/>
          <w:u w:val="single"/>
        </w:rPr>
        <w:t>Preliminary findings from consultations with gender and GBV actors</w:t>
      </w:r>
    </w:p>
    <w:p w14:paraId="60D4B2D3" w14:textId="3539DA14" w:rsidR="00A36DDD" w:rsidRPr="00A36DDD" w:rsidRDefault="00A36DDD" w:rsidP="00A36DDD">
      <w:pPr>
        <w:rPr>
          <w:rFonts w:ascii="Calibri" w:hAnsi="Calibri" w:cs="Times New Roman"/>
          <w:sz w:val="24"/>
          <w:szCs w:val="24"/>
        </w:rPr>
      </w:pPr>
      <w:r w:rsidRPr="00A36DDD">
        <w:rPr>
          <w:rFonts w:ascii="Calibri" w:hAnsi="Calibri" w:cs="Times New Roman"/>
          <w:sz w:val="24"/>
          <w:szCs w:val="24"/>
        </w:rPr>
        <w:t>Only 19 respondents completed the GBV section of the global online survey. Requesting further guidance on:</w:t>
      </w:r>
    </w:p>
    <w:p w14:paraId="2E2C7EF8" w14:textId="77777777" w:rsid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t>Participation and empowerment of women and girls with disabilities.</w:t>
      </w:r>
    </w:p>
    <w:p w14:paraId="676A8C9F" w14:textId="77777777" w:rsid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t>Preventing and responding to early and / or forced marriage of women and girls with disabilities.</w:t>
      </w:r>
    </w:p>
    <w:p w14:paraId="416E6F57" w14:textId="273D53EB" w:rsid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t>Including persons with disabilities in accountability and feedback mechanisms relating to GBV programs.</w:t>
      </w:r>
    </w:p>
    <w:p w14:paraId="76C934D6" w14:textId="77777777" w:rsidR="00A36DDD" w:rsidRPr="00A36DDD" w:rsidRDefault="00A36DDD" w:rsidP="00A36DDD">
      <w:pPr>
        <w:pStyle w:val="ListParagraph"/>
        <w:rPr>
          <w:rFonts w:ascii="Calibri" w:hAnsi="Calibri" w:cs="Times New Roman"/>
          <w:sz w:val="24"/>
          <w:szCs w:val="24"/>
        </w:rPr>
      </w:pPr>
    </w:p>
    <w:p w14:paraId="6B46C990" w14:textId="5D16DB54" w:rsidR="00A36DDD" w:rsidRDefault="00A36DDD" w:rsidP="00A36DDD">
      <w:pPr>
        <w:rPr>
          <w:rFonts w:ascii="Calibri" w:hAnsi="Calibri" w:cs="Times New Roman"/>
          <w:sz w:val="24"/>
          <w:szCs w:val="24"/>
        </w:rPr>
      </w:pPr>
      <w:r>
        <w:rPr>
          <w:rFonts w:ascii="Calibri" w:hAnsi="Calibri" w:cs="Times New Roman"/>
          <w:sz w:val="24"/>
          <w:szCs w:val="24"/>
        </w:rPr>
        <w:t>Recommendations from regional consultations on gender mainstreaming:</w:t>
      </w:r>
    </w:p>
    <w:p w14:paraId="57527030" w14:textId="77777777" w:rsid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t>Strengthening capacity of humanitarian actors (including DPOs) on intersection between gender and disability.</w:t>
      </w:r>
    </w:p>
    <w:p w14:paraId="6468D3B7" w14:textId="77777777" w:rsid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t>Collection and analysis of sex, age and disability disaggregated data (quant &amp; qual).</w:t>
      </w:r>
    </w:p>
    <w:p w14:paraId="6410794B" w14:textId="77777777" w:rsid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lastRenderedPageBreak/>
        <w:t>Prioritizing the leadership and participation of women and girls with disabilities.</w:t>
      </w:r>
    </w:p>
    <w:p w14:paraId="1806C75F" w14:textId="50E90101" w:rsid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t>Integration of disability in the IASC Gender Marker.</w:t>
      </w:r>
    </w:p>
    <w:p w14:paraId="15D854E3" w14:textId="77777777" w:rsidR="00A36DDD" w:rsidRPr="00A36DDD" w:rsidRDefault="00A36DDD" w:rsidP="00A36DDD">
      <w:pPr>
        <w:pStyle w:val="ListParagraph"/>
        <w:rPr>
          <w:rFonts w:ascii="Calibri" w:hAnsi="Calibri" w:cs="Times New Roman"/>
          <w:sz w:val="24"/>
          <w:szCs w:val="24"/>
        </w:rPr>
      </w:pPr>
    </w:p>
    <w:p w14:paraId="0051E15C" w14:textId="52C1F95E" w:rsidR="00A36DDD" w:rsidRDefault="00A36DDD" w:rsidP="00722AF0">
      <w:pPr>
        <w:rPr>
          <w:rFonts w:ascii="Calibri" w:hAnsi="Calibri" w:cs="Times New Roman"/>
          <w:sz w:val="24"/>
          <w:szCs w:val="24"/>
        </w:rPr>
      </w:pPr>
      <w:r>
        <w:rPr>
          <w:rFonts w:ascii="Calibri" w:hAnsi="Calibri" w:cs="Times New Roman"/>
          <w:sz w:val="24"/>
          <w:szCs w:val="24"/>
        </w:rPr>
        <w:t xml:space="preserve">Recommendations from regional consultations on GBV Prevention and Response: </w:t>
      </w:r>
    </w:p>
    <w:p w14:paraId="6261F668" w14:textId="77777777" w:rsidR="00A36DDD" w:rsidRP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t>“Risks and Barriers” – Needs to clearly define risks, vulnerability factors, and then barriers to accessing services and assistance.</w:t>
      </w:r>
    </w:p>
    <w:p w14:paraId="6336D08A" w14:textId="77777777" w:rsidR="00A36DDD" w:rsidRP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t>Key elements = MUST DO … different opinions between Africa and Asia.</w:t>
      </w:r>
    </w:p>
    <w:p w14:paraId="48EB3964" w14:textId="76FFFF33" w:rsidR="00A36DDD" w:rsidRPr="00A36DDD" w:rsidRDefault="00A36DDD" w:rsidP="00A36DDD">
      <w:pPr>
        <w:pStyle w:val="ListParagraph"/>
        <w:numPr>
          <w:ilvl w:val="0"/>
          <w:numId w:val="13"/>
        </w:numPr>
        <w:rPr>
          <w:rFonts w:ascii="Calibri" w:hAnsi="Calibri" w:cs="Times New Roman"/>
          <w:sz w:val="24"/>
          <w:szCs w:val="24"/>
        </w:rPr>
      </w:pPr>
      <w:r w:rsidRPr="00A36DDD">
        <w:rPr>
          <w:rFonts w:ascii="Calibri" w:hAnsi="Calibri" w:cs="Times New Roman"/>
          <w:sz w:val="24"/>
          <w:szCs w:val="24"/>
        </w:rPr>
        <w:t>Role of different stakeholders – Consider diagrams and linkages with other sections.</w:t>
      </w:r>
    </w:p>
    <w:p w14:paraId="20FDED02" w14:textId="09D20D44" w:rsidR="00722AF0" w:rsidRPr="00A836A2" w:rsidRDefault="00A36DDD" w:rsidP="00722AF0">
      <w:pPr>
        <w:pStyle w:val="ListParagraph"/>
        <w:numPr>
          <w:ilvl w:val="0"/>
          <w:numId w:val="13"/>
        </w:numPr>
        <w:rPr>
          <w:rFonts w:ascii="Calibri" w:hAnsi="Calibri" w:cs="Times New Roman"/>
          <w:sz w:val="24"/>
          <w:szCs w:val="24"/>
        </w:rPr>
      </w:pPr>
      <w:r w:rsidRPr="00A36DDD">
        <w:rPr>
          <w:rFonts w:ascii="Calibri" w:hAnsi="Calibri" w:cs="Times New Roman"/>
          <w:sz w:val="24"/>
          <w:szCs w:val="24"/>
        </w:rPr>
        <w:t>Set criteria for the testimony and good practices.</w:t>
      </w:r>
    </w:p>
    <w:p w14:paraId="16A5B829" w14:textId="77777777" w:rsidR="005116AA" w:rsidRPr="00ED3640" w:rsidRDefault="005116AA" w:rsidP="00F43363">
      <w:pPr>
        <w:rPr>
          <w:rFonts w:ascii="Calibri" w:hAnsi="Calibri" w:cs="Times New Roman"/>
          <w:b/>
          <w:sz w:val="24"/>
          <w:szCs w:val="24"/>
        </w:rPr>
      </w:pPr>
    </w:p>
    <w:p w14:paraId="7F66A116" w14:textId="24499BFE" w:rsidR="005510EF" w:rsidRPr="00C019A2" w:rsidRDefault="005116AA" w:rsidP="005510EF">
      <w:pPr>
        <w:rPr>
          <w:rFonts w:ascii="Calibri" w:hAnsi="Calibri" w:cs="Times New Roman"/>
          <w:b/>
          <w:sz w:val="24"/>
          <w:szCs w:val="24"/>
        </w:rPr>
      </w:pPr>
      <w:r w:rsidRPr="00ED3640">
        <w:rPr>
          <w:rFonts w:ascii="Calibri" w:hAnsi="Calibri" w:cs="Times New Roman"/>
          <w:b/>
          <w:sz w:val="24"/>
          <w:szCs w:val="24"/>
        </w:rPr>
        <w:t>Key discussion points</w:t>
      </w:r>
    </w:p>
    <w:p w14:paraId="09853196" w14:textId="5DA29FFD" w:rsidR="00B16831" w:rsidRDefault="00B16831" w:rsidP="005510EF">
      <w:pPr>
        <w:rPr>
          <w:sz w:val="24"/>
          <w:szCs w:val="24"/>
          <w:u w:val="single"/>
        </w:rPr>
      </w:pPr>
      <w:r>
        <w:rPr>
          <w:sz w:val="24"/>
          <w:szCs w:val="24"/>
          <w:u w:val="single"/>
        </w:rPr>
        <w:t>IASC Disability Guidelines Global Online Survey</w:t>
      </w:r>
    </w:p>
    <w:p w14:paraId="42E09223" w14:textId="7907D349" w:rsidR="00B16831" w:rsidRDefault="00B16831" w:rsidP="005510EF">
      <w:pPr>
        <w:rPr>
          <w:sz w:val="24"/>
          <w:szCs w:val="24"/>
        </w:rPr>
      </w:pPr>
      <w:r>
        <w:rPr>
          <w:sz w:val="24"/>
          <w:szCs w:val="24"/>
        </w:rPr>
        <w:t xml:space="preserve">This survey was quite long. Recommend extracting the questions regarding GBV prevention and response and re-sending through the GBV </w:t>
      </w:r>
      <w:proofErr w:type="spellStart"/>
      <w:r>
        <w:rPr>
          <w:sz w:val="24"/>
          <w:szCs w:val="24"/>
        </w:rPr>
        <w:t>AoR</w:t>
      </w:r>
      <w:proofErr w:type="spellEnd"/>
      <w:r>
        <w:rPr>
          <w:sz w:val="24"/>
          <w:szCs w:val="24"/>
        </w:rPr>
        <w:t xml:space="preserve"> to inform the development of Draft 2 of the GBV sub-sector guidance.</w:t>
      </w:r>
    </w:p>
    <w:p w14:paraId="323422BC" w14:textId="77777777" w:rsidR="00B16831" w:rsidRPr="00B16831" w:rsidRDefault="00B16831" w:rsidP="005510EF">
      <w:pPr>
        <w:rPr>
          <w:sz w:val="24"/>
          <w:szCs w:val="24"/>
        </w:rPr>
      </w:pPr>
    </w:p>
    <w:p w14:paraId="3EEE9DEB" w14:textId="43D2D013" w:rsidR="00A836A2" w:rsidRPr="00A836A2" w:rsidRDefault="00A836A2" w:rsidP="005510EF">
      <w:pPr>
        <w:rPr>
          <w:sz w:val="24"/>
          <w:szCs w:val="24"/>
          <w:u w:val="single"/>
        </w:rPr>
      </w:pPr>
      <w:r w:rsidRPr="00A836A2">
        <w:rPr>
          <w:sz w:val="24"/>
          <w:szCs w:val="24"/>
          <w:u w:val="single"/>
        </w:rPr>
        <w:t>Content of the IASC Disability Guidelines</w:t>
      </w:r>
    </w:p>
    <w:p w14:paraId="025EC918" w14:textId="2C908297" w:rsidR="005510EF" w:rsidRDefault="005510EF" w:rsidP="005510EF">
      <w:pPr>
        <w:rPr>
          <w:sz w:val="24"/>
          <w:szCs w:val="24"/>
        </w:rPr>
      </w:pPr>
      <w:r w:rsidRPr="005510EF">
        <w:rPr>
          <w:sz w:val="24"/>
          <w:szCs w:val="24"/>
        </w:rPr>
        <w:t>Key Elements = MUST DO structure presents limitations to detailed guidance on:</w:t>
      </w:r>
    </w:p>
    <w:p w14:paraId="06A011B2" w14:textId="77777777" w:rsidR="005510EF" w:rsidRDefault="005510EF" w:rsidP="005510EF">
      <w:pPr>
        <w:pStyle w:val="ListParagraph"/>
        <w:numPr>
          <w:ilvl w:val="0"/>
          <w:numId w:val="13"/>
        </w:numPr>
        <w:rPr>
          <w:sz w:val="24"/>
          <w:szCs w:val="24"/>
        </w:rPr>
      </w:pPr>
      <w:r w:rsidRPr="005510EF">
        <w:rPr>
          <w:sz w:val="24"/>
          <w:szCs w:val="24"/>
        </w:rPr>
        <w:t>Early / forced marriage</w:t>
      </w:r>
    </w:p>
    <w:p w14:paraId="45415BD1" w14:textId="68B93223" w:rsidR="005510EF" w:rsidRDefault="005510EF" w:rsidP="005510EF">
      <w:pPr>
        <w:pStyle w:val="ListParagraph"/>
        <w:numPr>
          <w:ilvl w:val="0"/>
          <w:numId w:val="13"/>
        </w:numPr>
        <w:rPr>
          <w:sz w:val="24"/>
          <w:szCs w:val="24"/>
        </w:rPr>
      </w:pPr>
      <w:r w:rsidRPr="005510EF">
        <w:rPr>
          <w:sz w:val="24"/>
          <w:szCs w:val="24"/>
        </w:rPr>
        <w:t xml:space="preserve">Distinguishing between GBV prevention and response efforts  </w:t>
      </w:r>
    </w:p>
    <w:p w14:paraId="23C545B4" w14:textId="1EC42017" w:rsidR="005D13D6" w:rsidRPr="005D13D6" w:rsidRDefault="005D13D6" w:rsidP="005D13D6">
      <w:pPr>
        <w:rPr>
          <w:sz w:val="24"/>
          <w:szCs w:val="24"/>
        </w:rPr>
      </w:pPr>
      <w:r>
        <w:rPr>
          <w:sz w:val="24"/>
          <w:szCs w:val="24"/>
        </w:rPr>
        <w:t>This section should be aligned with and inform the Minimum Standards for GBV Prevention and Response (to be developed).</w:t>
      </w:r>
    </w:p>
    <w:p w14:paraId="2ADA3B52" w14:textId="6A2F725D" w:rsidR="005510EF" w:rsidRDefault="005510EF" w:rsidP="005510EF">
      <w:pPr>
        <w:rPr>
          <w:sz w:val="24"/>
          <w:szCs w:val="24"/>
        </w:rPr>
      </w:pPr>
    </w:p>
    <w:p w14:paraId="31C38DE4" w14:textId="362727A4" w:rsidR="005510EF" w:rsidRPr="005510EF" w:rsidRDefault="005510EF" w:rsidP="005510EF">
      <w:pPr>
        <w:rPr>
          <w:sz w:val="24"/>
          <w:szCs w:val="24"/>
        </w:rPr>
      </w:pPr>
      <w:r w:rsidRPr="005510EF">
        <w:rPr>
          <w:sz w:val="24"/>
          <w:szCs w:val="24"/>
        </w:rPr>
        <w:t>Where forced sterilization will fit in?</w:t>
      </w:r>
      <w:r>
        <w:rPr>
          <w:sz w:val="24"/>
          <w:szCs w:val="24"/>
        </w:rPr>
        <w:t xml:space="preserve"> It should</w:t>
      </w:r>
      <w:r w:rsidRPr="005510EF">
        <w:rPr>
          <w:sz w:val="24"/>
          <w:szCs w:val="24"/>
        </w:rPr>
        <w:t xml:space="preserve"> be reflected in </w:t>
      </w:r>
      <w:r>
        <w:rPr>
          <w:sz w:val="24"/>
          <w:szCs w:val="24"/>
        </w:rPr>
        <w:t xml:space="preserve">both the </w:t>
      </w:r>
      <w:r w:rsidRPr="005510EF">
        <w:rPr>
          <w:sz w:val="24"/>
          <w:szCs w:val="24"/>
        </w:rPr>
        <w:t>GBV section and SRH section</w:t>
      </w:r>
      <w:r>
        <w:rPr>
          <w:sz w:val="24"/>
          <w:szCs w:val="24"/>
        </w:rPr>
        <w:t>s of the Guidelines.</w:t>
      </w:r>
    </w:p>
    <w:p w14:paraId="39433772" w14:textId="0A298FC3" w:rsidR="005510EF" w:rsidRDefault="005510EF" w:rsidP="005510EF">
      <w:pPr>
        <w:rPr>
          <w:sz w:val="24"/>
          <w:szCs w:val="24"/>
        </w:rPr>
      </w:pPr>
    </w:p>
    <w:p w14:paraId="67DC75BF" w14:textId="2CB9DDA0" w:rsidR="00397498" w:rsidRDefault="00397498" w:rsidP="00397498">
      <w:pPr>
        <w:rPr>
          <w:sz w:val="24"/>
          <w:szCs w:val="24"/>
        </w:rPr>
      </w:pPr>
      <w:r w:rsidRPr="005510EF">
        <w:rPr>
          <w:sz w:val="24"/>
          <w:szCs w:val="24"/>
        </w:rPr>
        <w:t>“Care-givers” versus “support people” – how can we balance these different perspectives?</w:t>
      </w:r>
      <w:r>
        <w:rPr>
          <w:sz w:val="24"/>
          <w:szCs w:val="24"/>
        </w:rPr>
        <w:t xml:space="preserve"> It is important to recognize the social contribution that women and girls make to care-giving. In most humanitarian contexts, these individuals are mothers, daughters and sisters of individuals, and as such don’t fit the wider GBV sector’s understanding of “support people”.</w:t>
      </w:r>
    </w:p>
    <w:p w14:paraId="717817CB" w14:textId="2735AA54" w:rsidR="00397498" w:rsidRDefault="00397498" w:rsidP="00397498">
      <w:pPr>
        <w:rPr>
          <w:sz w:val="24"/>
          <w:szCs w:val="24"/>
        </w:rPr>
      </w:pPr>
    </w:p>
    <w:p w14:paraId="50D41B6D" w14:textId="1EE9BA22" w:rsidR="00397498" w:rsidRPr="005510EF" w:rsidRDefault="00397498" w:rsidP="00397498">
      <w:pPr>
        <w:rPr>
          <w:sz w:val="24"/>
          <w:szCs w:val="24"/>
        </w:rPr>
      </w:pPr>
      <w:r>
        <w:rPr>
          <w:sz w:val="24"/>
          <w:szCs w:val="24"/>
        </w:rPr>
        <w:t xml:space="preserve">Integrating disability into the Gender with Age Marker – </w:t>
      </w:r>
      <w:r w:rsidR="00A836A2">
        <w:rPr>
          <w:sz w:val="24"/>
          <w:szCs w:val="24"/>
        </w:rPr>
        <w:t>May not be a strategic entry point for disability inclusion, as it is u</w:t>
      </w:r>
      <w:r>
        <w:rPr>
          <w:sz w:val="24"/>
          <w:szCs w:val="24"/>
        </w:rPr>
        <w:t xml:space="preserve">nlikely to have a significant impact to financial resourcing and so forth. It is also going to be a very long and intensive process to adapt it again. </w:t>
      </w:r>
    </w:p>
    <w:p w14:paraId="777CCFBA" w14:textId="77777777" w:rsidR="00397498" w:rsidRPr="005510EF" w:rsidRDefault="00397498" w:rsidP="005510EF">
      <w:pPr>
        <w:rPr>
          <w:sz w:val="24"/>
          <w:szCs w:val="24"/>
        </w:rPr>
      </w:pPr>
    </w:p>
    <w:p w14:paraId="3E13BF23" w14:textId="77777777" w:rsidR="005D13D6" w:rsidRDefault="005510EF" w:rsidP="005510EF">
      <w:pPr>
        <w:rPr>
          <w:sz w:val="24"/>
          <w:szCs w:val="24"/>
        </w:rPr>
      </w:pPr>
      <w:r w:rsidRPr="005510EF">
        <w:rPr>
          <w:sz w:val="24"/>
          <w:szCs w:val="24"/>
        </w:rPr>
        <w:t>What level of disaggregation is realistic and appropriate? E.g. types of disabilities, Washington group questions.</w:t>
      </w:r>
      <w:r>
        <w:rPr>
          <w:sz w:val="24"/>
          <w:szCs w:val="24"/>
        </w:rPr>
        <w:t xml:space="preserve"> Participants shared that there is an increasing push from donors to disaggregate data by disability, but most responses </w:t>
      </w:r>
      <w:r w:rsidR="000B5251">
        <w:rPr>
          <w:sz w:val="24"/>
          <w:szCs w:val="24"/>
        </w:rPr>
        <w:t>must align data collection with the government system. As such, it is re</w:t>
      </w:r>
      <w:r>
        <w:rPr>
          <w:sz w:val="24"/>
          <w:szCs w:val="24"/>
        </w:rPr>
        <w:t>commen</w:t>
      </w:r>
      <w:r w:rsidR="000B5251">
        <w:rPr>
          <w:sz w:val="24"/>
          <w:szCs w:val="24"/>
        </w:rPr>
        <w:t xml:space="preserve">ded that the IASC Disability Guidelines focus on </w:t>
      </w:r>
      <w:r>
        <w:rPr>
          <w:sz w:val="24"/>
          <w:szCs w:val="24"/>
        </w:rPr>
        <w:t xml:space="preserve">strengthening data disaggregation </w:t>
      </w:r>
      <w:r w:rsidRPr="005510EF">
        <w:rPr>
          <w:sz w:val="24"/>
          <w:szCs w:val="24"/>
        </w:rPr>
        <w:t>during disaster preparedness and recovery</w:t>
      </w:r>
      <w:r>
        <w:rPr>
          <w:sz w:val="24"/>
          <w:szCs w:val="24"/>
        </w:rPr>
        <w:t>.</w:t>
      </w:r>
    </w:p>
    <w:p w14:paraId="746C7560" w14:textId="77777777" w:rsidR="005D13D6" w:rsidRDefault="005D13D6" w:rsidP="005510EF">
      <w:pPr>
        <w:rPr>
          <w:sz w:val="24"/>
          <w:szCs w:val="24"/>
          <w:u w:val="single"/>
        </w:rPr>
      </w:pPr>
    </w:p>
    <w:p w14:paraId="30EF3B83" w14:textId="1698867F" w:rsidR="000B5251" w:rsidRPr="005D13D6" w:rsidRDefault="00A836A2" w:rsidP="005510EF">
      <w:pPr>
        <w:rPr>
          <w:sz w:val="24"/>
          <w:szCs w:val="24"/>
        </w:rPr>
      </w:pPr>
      <w:r w:rsidRPr="00A836A2">
        <w:rPr>
          <w:sz w:val="24"/>
          <w:szCs w:val="24"/>
          <w:u w:val="single"/>
        </w:rPr>
        <w:t>Practical examples</w:t>
      </w:r>
    </w:p>
    <w:p w14:paraId="55F53E6A" w14:textId="33B3811C" w:rsidR="00A836A2" w:rsidRDefault="005510EF" w:rsidP="005510EF">
      <w:pPr>
        <w:rPr>
          <w:sz w:val="24"/>
          <w:szCs w:val="24"/>
        </w:rPr>
      </w:pPr>
      <w:r>
        <w:rPr>
          <w:sz w:val="24"/>
          <w:szCs w:val="24"/>
        </w:rPr>
        <w:t xml:space="preserve">Whole of Syria GBV </w:t>
      </w:r>
      <w:proofErr w:type="spellStart"/>
      <w:r>
        <w:rPr>
          <w:sz w:val="24"/>
          <w:szCs w:val="24"/>
        </w:rPr>
        <w:t>AoR</w:t>
      </w:r>
      <w:proofErr w:type="spellEnd"/>
      <w:r>
        <w:rPr>
          <w:sz w:val="24"/>
          <w:szCs w:val="24"/>
        </w:rPr>
        <w:t xml:space="preserve"> is using the Washington Group Questions in registration of beneficiaries at service delivery points, where actors have time to go through the questions with individuals. However, this requires </w:t>
      </w:r>
      <w:r w:rsidRPr="005510EF">
        <w:rPr>
          <w:sz w:val="24"/>
          <w:szCs w:val="24"/>
        </w:rPr>
        <w:t>a lot of training for partners and needs corresponding budget.</w:t>
      </w:r>
      <w:r>
        <w:rPr>
          <w:sz w:val="24"/>
          <w:szCs w:val="24"/>
        </w:rPr>
        <w:t xml:space="preserve"> At the assessment level, it </w:t>
      </w:r>
      <w:r w:rsidR="000B5251">
        <w:rPr>
          <w:sz w:val="24"/>
          <w:szCs w:val="24"/>
        </w:rPr>
        <w:t>is</w:t>
      </w:r>
      <w:r>
        <w:rPr>
          <w:sz w:val="24"/>
          <w:szCs w:val="24"/>
        </w:rPr>
        <w:t xml:space="preserve"> not possible to integrate the Washington Group questions</w:t>
      </w:r>
      <w:r w:rsidR="0097053C">
        <w:rPr>
          <w:sz w:val="24"/>
          <w:szCs w:val="24"/>
        </w:rPr>
        <w:t xml:space="preserve"> in full. </w:t>
      </w:r>
      <w:r w:rsidR="00397498">
        <w:rPr>
          <w:sz w:val="24"/>
          <w:szCs w:val="24"/>
        </w:rPr>
        <w:t>However, they have adapted the Washington Group questions to better describe the categories of people with disabilities for inclusion in qualitative data collection (e.g. focus group discussions) in</w:t>
      </w:r>
      <w:r w:rsidR="00A836A2">
        <w:rPr>
          <w:sz w:val="24"/>
          <w:szCs w:val="24"/>
        </w:rPr>
        <w:t xml:space="preserve"> the facilitation</w:t>
      </w:r>
      <w:r w:rsidR="00397498">
        <w:rPr>
          <w:sz w:val="24"/>
          <w:szCs w:val="24"/>
        </w:rPr>
        <w:t xml:space="preserve"> guid</w:t>
      </w:r>
      <w:r w:rsidR="00A836A2">
        <w:rPr>
          <w:sz w:val="24"/>
          <w:szCs w:val="24"/>
        </w:rPr>
        <w:t xml:space="preserve">e </w:t>
      </w:r>
      <w:r w:rsidR="00397498">
        <w:rPr>
          <w:sz w:val="24"/>
          <w:szCs w:val="24"/>
        </w:rPr>
        <w:t>for partners.</w:t>
      </w:r>
      <w:r w:rsidR="00A836A2">
        <w:rPr>
          <w:sz w:val="24"/>
          <w:szCs w:val="24"/>
        </w:rPr>
        <w:t xml:space="preserve"> It is important to a</w:t>
      </w:r>
      <w:r w:rsidRPr="005510EF">
        <w:rPr>
          <w:sz w:val="24"/>
          <w:szCs w:val="24"/>
        </w:rPr>
        <w:t>dvocate for inclusion of persons with disabilities as enumerators and respondents of the assessments.</w:t>
      </w:r>
    </w:p>
    <w:p w14:paraId="086CCF8A" w14:textId="516295BB" w:rsidR="00B16831" w:rsidRDefault="00B16831" w:rsidP="005510EF">
      <w:pPr>
        <w:rPr>
          <w:sz w:val="24"/>
          <w:szCs w:val="24"/>
        </w:rPr>
      </w:pPr>
    </w:p>
    <w:p w14:paraId="4E171467" w14:textId="3C2FFC1D" w:rsidR="00B16831" w:rsidRDefault="00B16831" w:rsidP="005510EF">
      <w:pPr>
        <w:rPr>
          <w:sz w:val="24"/>
          <w:szCs w:val="24"/>
        </w:rPr>
      </w:pPr>
      <w:r>
        <w:rPr>
          <w:rFonts w:ascii="Calibri" w:hAnsi="Calibri" w:cs="Times New Roman"/>
          <w:sz w:val="24"/>
          <w:szCs w:val="24"/>
        </w:rPr>
        <w:t>Examples of c</w:t>
      </w:r>
      <w:r w:rsidRPr="00B16831">
        <w:rPr>
          <w:rFonts w:ascii="Calibri" w:hAnsi="Calibri" w:cs="Times New Roman"/>
          <w:sz w:val="24"/>
          <w:szCs w:val="24"/>
        </w:rPr>
        <w:t xml:space="preserve">onnecting groups of </w:t>
      </w:r>
      <w:r>
        <w:rPr>
          <w:rFonts w:ascii="Calibri" w:hAnsi="Calibri" w:cs="Times New Roman"/>
          <w:sz w:val="24"/>
          <w:szCs w:val="24"/>
        </w:rPr>
        <w:t xml:space="preserve">persons with disabilities / </w:t>
      </w:r>
      <w:r w:rsidRPr="00B16831">
        <w:rPr>
          <w:rFonts w:ascii="Calibri" w:hAnsi="Calibri" w:cs="Times New Roman"/>
          <w:sz w:val="24"/>
          <w:szCs w:val="24"/>
        </w:rPr>
        <w:t xml:space="preserve">disability community to </w:t>
      </w:r>
      <w:r>
        <w:rPr>
          <w:rFonts w:ascii="Calibri" w:hAnsi="Calibri" w:cs="Times New Roman"/>
          <w:sz w:val="24"/>
          <w:szCs w:val="24"/>
        </w:rPr>
        <w:t>GBV partners and</w:t>
      </w:r>
      <w:r w:rsidRPr="00B16831">
        <w:rPr>
          <w:rFonts w:ascii="Calibri" w:hAnsi="Calibri" w:cs="Times New Roman"/>
          <w:sz w:val="24"/>
          <w:szCs w:val="24"/>
        </w:rPr>
        <w:t xml:space="preserve"> humanitarian processes</w:t>
      </w:r>
      <w:r>
        <w:rPr>
          <w:rFonts w:ascii="Calibri" w:hAnsi="Calibri" w:cs="Times New Roman"/>
          <w:sz w:val="24"/>
          <w:szCs w:val="24"/>
        </w:rPr>
        <w:t xml:space="preserve"> would also be useful.</w:t>
      </w:r>
    </w:p>
    <w:p w14:paraId="552EFA78" w14:textId="064BA3D7" w:rsidR="00A836A2" w:rsidRDefault="00A836A2" w:rsidP="005510EF">
      <w:pPr>
        <w:rPr>
          <w:sz w:val="24"/>
          <w:szCs w:val="24"/>
        </w:rPr>
      </w:pPr>
    </w:p>
    <w:p w14:paraId="0F43CE98" w14:textId="2067821A" w:rsidR="00A93BB6" w:rsidRPr="00A836A2" w:rsidRDefault="00672882">
      <w:pPr>
        <w:rPr>
          <w:rFonts w:ascii="Calibri" w:hAnsi="Calibri" w:cs="Times New Roman"/>
          <w:sz w:val="24"/>
          <w:szCs w:val="24"/>
          <w:u w:val="single"/>
        </w:rPr>
      </w:pPr>
      <w:r w:rsidRPr="00A836A2">
        <w:rPr>
          <w:rFonts w:ascii="Calibri" w:hAnsi="Calibri" w:cs="Times New Roman"/>
          <w:sz w:val="24"/>
          <w:szCs w:val="24"/>
          <w:u w:val="single"/>
        </w:rPr>
        <w:t xml:space="preserve">How can the GBV </w:t>
      </w:r>
      <w:proofErr w:type="spellStart"/>
      <w:r w:rsidRPr="00A836A2">
        <w:rPr>
          <w:rFonts w:ascii="Calibri" w:hAnsi="Calibri" w:cs="Times New Roman"/>
          <w:sz w:val="24"/>
          <w:szCs w:val="24"/>
          <w:u w:val="single"/>
        </w:rPr>
        <w:t>AoR</w:t>
      </w:r>
      <w:proofErr w:type="spellEnd"/>
      <w:r w:rsidRPr="00A836A2">
        <w:rPr>
          <w:rFonts w:ascii="Calibri" w:hAnsi="Calibri" w:cs="Times New Roman"/>
          <w:sz w:val="24"/>
          <w:szCs w:val="24"/>
          <w:u w:val="single"/>
        </w:rPr>
        <w:t xml:space="preserve"> support the piloting of the IASC Disability Guidelines?</w:t>
      </w:r>
    </w:p>
    <w:p w14:paraId="1EAEC109" w14:textId="05932D09" w:rsidR="00AE7EC6" w:rsidRDefault="00A836A2" w:rsidP="006606A5">
      <w:pPr>
        <w:rPr>
          <w:sz w:val="24"/>
          <w:szCs w:val="24"/>
        </w:rPr>
      </w:pPr>
      <w:r>
        <w:rPr>
          <w:sz w:val="24"/>
          <w:szCs w:val="24"/>
        </w:rPr>
        <w:t>Participants raised the issue of funding for</w:t>
      </w:r>
      <w:r w:rsidR="00F4712E" w:rsidRPr="00A836A2">
        <w:rPr>
          <w:sz w:val="24"/>
          <w:szCs w:val="24"/>
        </w:rPr>
        <w:t xml:space="preserve"> piloting</w:t>
      </w:r>
      <w:r>
        <w:rPr>
          <w:sz w:val="24"/>
          <w:szCs w:val="24"/>
        </w:rPr>
        <w:t xml:space="preserve"> activities. WRC has a small amount of funding from DFAT to support piloting in GBV prevention and response programs. Funding may also be available through the IASC Task Team, but the amount and process is yet to be determined.</w:t>
      </w:r>
      <w:r w:rsidR="006606A5">
        <w:rPr>
          <w:sz w:val="24"/>
          <w:szCs w:val="24"/>
        </w:rPr>
        <w:t xml:space="preserve"> REGAs can be engaged, but ear</w:t>
      </w:r>
      <w:r w:rsidR="00AE7EC6">
        <w:rPr>
          <w:sz w:val="24"/>
          <w:szCs w:val="24"/>
        </w:rPr>
        <w:t>ly 2019 ma</w:t>
      </w:r>
      <w:r w:rsidR="00BB6319">
        <w:rPr>
          <w:sz w:val="24"/>
          <w:szCs w:val="24"/>
        </w:rPr>
        <w:t>y be more feasible</w:t>
      </w:r>
      <w:r w:rsidR="006606A5">
        <w:rPr>
          <w:sz w:val="24"/>
          <w:szCs w:val="24"/>
        </w:rPr>
        <w:t xml:space="preserve"> for piloting given</w:t>
      </w:r>
      <w:r w:rsidR="00BB6319">
        <w:rPr>
          <w:sz w:val="24"/>
          <w:szCs w:val="24"/>
        </w:rPr>
        <w:t xml:space="preserve"> HRP/HNO processes.</w:t>
      </w:r>
    </w:p>
    <w:p w14:paraId="754CD73D" w14:textId="77777777" w:rsidR="004D1527" w:rsidRDefault="004D1527" w:rsidP="004D1527">
      <w:pPr>
        <w:rPr>
          <w:sz w:val="24"/>
          <w:szCs w:val="24"/>
        </w:rPr>
      </w:pPr>
    </w:p>
    <w:p w14:paraId="79FEC358" w14:textId="77777777" w:rsidR="004D1527" w:rsidRDefault="004D1527" w:rsidP="004D1527">
      <w:pPr>
        <w:rPr>
          <w:sz w:val="24"/>
          <w:szCs w:val="24"/>
        </w:rPr>
      </w:pPr>
      <w:r w:rsidRPr="004D1527">
        <w:rPr>
          <w:sz w:val="24"/>
          <w:szCs w:val="24"/>
          <w:u w:val="single"/>
        </w:rPr>
        <w:t>DFID Global Disability Summit</w:t>
      </w:r>
    </w:p>
    <w:p w14:paraId="51DF3C94" w14:textId="055EAC5E" w:rsidR="004D1527" w:rsidRPr="004D1527" w:rsidRDefault="004D1527" w:rsidP="004D1527">
      <w:pPr>
        <w:rPr>
          <w:sz w:val="24"/>
          <w:szCs w:val="24"/>
        </w:rPr>
      </w:pPr>
      <w:r>
        <w:rPr>
          <w:sz w:val="24"/>
          <w:szCs w:val="24"/>
        </w:rPr>
        <w:t xml:space="preserve">The Summit on </w:t>
      </w:r>
      <w:r w:rsidRPr="004D1527">
        <w:rPr>
          <w:sz w:val="24"/>
          <w:szCs w:val="24"/>
        </w:rPr>
        <w:t>24</w:t>
      </w:r>
      <w:r w:rsidRPr="004D1527">
        <w:rPr>
          <w:sz w:val="24"/>
          <w:szCs w:val="24"/>
          <w:vertAlign w:val="superscript"/>
        </w:rPr>
        <w:t>th</w:t>
      </w:r>
      <w:r w:rsidRPr="004D1527">
        <w:rPr>
          <w:sz w:val="24"/>
          <w:szCs w:val="24"/>
        </w:rPr>
        <w:t xml:space="preserve"> July 2018 would be another forum to collect feedback on the IASC Disability Guidelines. This Summit will focus largely on the development sector, with gender and humanitarian as cross-cutting issues.</w:t>
      </w:r>
    </w:p>
    <w:p w14:paraId="43D8236B" w14:textId="21E4D599" w:rsidR="001441B3" w:rsidRPr="001441B3" w:rsidRDefault="001441B3" w:rsidP="001441B3">
      <w:pPr>
        <w:rPr>
          <w:b/>
          <w:sz w:val="24"/>
          <w:szCs w:val="24"/>
        </w:rPr>
      </w:pPr>
    </w:p>
    <w:p w14:paraId="0433971A" w14:textId="757EBF86" w:rsidR="00AF112C" w:rsidRDefault="005116AA" w:rsidP="00AF112C">
      <w:pPr>
        <w:rPr>
          <w:b/>
          <w:sz w:val="24"/>
          <w:szCs w:val="24"/>
        </w:rPr>
      </w:pPr>
      <w:r w:rsidRPr="00ED3640">
        <w:rPr>
          <w:b/>
          <w:sz w:val="24"/>
          <w:szCs w:val="24"/>
        </w:rPr>
        <w:t>Action points, decisions taken and follow-up</w:t>
      </w:r>
    </w:p>
    <w:p w14:paraId="1E2C7E8F" w14:textId="77777777" w:rsidR="00C019A2" w:rsidRPr="005D13D6" w:rsidRDefault="004E34CC" w:rsidP="005D13D6">
      <w:pPr>
        <w:pStyle w:val="ListParagraph"/>
        <w:numPr>
          <w:ilvl w:val="0"/>
          <w:numId w:val="17"/>
        </w:numPr>
        <w:rPr>
          <w:sz w:val="24"/>
          <w:szCs w:val="24"/>
        </w:rPr>
      </w:pPr>
      <w:r w:rsidRPr="005D13D6">
        <w:rPr>
          <w:sz w:val="24"/>
          <w:szCs w:val="24"/>
        </w:rPr>
        <w:t xml:space="preserve">Approach </w:t>
      </w:r>
      <w:r w:rsidR="00C019A2" w:rsidRPr="005D13D6">
        <w:rPr>
          <w:sz w:val="24"/>
          <w:szCs w:val="24"/>
        </w:rPr>
        <w:t xml:space="preserve">the GBV </w:t>
      </w:r>
      <w:proofErr w:type="spellStart"/>
      <w:r w:rsidR="00C019A2" w:rsidRPr="005D13D6">
        <w:rPr>
          <w:sz w:val="24"/>
          <w:szCs w:val="24"/>
        </w:rPr>
        <w:t>AoR</w:t>
      </w:r>
      <w:proofErr w:type="spellEnd"/>
      <w:r w:rsidR="00C019A2" w:rsidRPr="005D13D6">
        <w:rPr>
          <w:sz w:val="24"/>
          <w:szCs w:val="24"/>
        </w:rPr>
        <w:t xml:space="preserve"> </w:t>
      </w:r>
      <w:r w:rsidRPr="005D13D6">
        <w:rPr>
          <w:sz w:val="24"/>
          <w:szCs w:val="24"/>
        </w:rPr>
        <w:t>Learning Reference Group – they may give feedback to the IASC Disability Guidelines</w:t>
      </w:r>
      <w:r w:rsidR="00C019A2" w:rsidRPr="005D13D6">
        <w:rPr>
          <w:sz w:val="24"/>
          <w:szCs w:val="24"/>
        </w:rPr>
        <w:t>.</w:t>
      </w:r>
    </w:p>
    <w:p w14:paraId="2E40D850" w14:textId="77777777" w:rsidR="005D13D6" w:rsidRPr="005D13D6" w:rsidRDefault="00B16831" w:rsidP="00C019A2">
      <w:pPr>
        <w:pStyle w:val="ListParagraph"/>
        <w:numPr>
          <w:ilvl w:val="0"/>
          <w:numId w:val="17"/>
        </w:numPr>
        <w:rPr>
          <w:sz w:val="24"/>
          <w:szCs w:val="24"/>
        </w:rPr>
      </w:pPr>
      <w:r w:rsidRPr="005D13D6">
        <w:rPr>
          <w:sz w:val="24"/>
          <w:szCs w:val="24"/>
        </w:rPr>
        <w:t>Adapt and re-circulate the survey.</w:t>
      </w:r>
      <w:r w:rsidRPr="005D13D6">
        <w:rPr>
          <w:rFonts w:ascii="Calibri" w:hAnsi="Calibri" w:cs="Times New Roman"/>
          <w:sz w:val="24"/>
          <w:szCs w:val="24"/>
        </w:rPr>
        <w:t xml:space="preserve"> </w:t>
      </w:r>
      <w:r w:rsidRPr="005D13D6">
        <w:rPr>
          <w:rFonts w:ascii="Calibri" w:hAnsi="Calibri" w:cs="Times New Roman"/>
          <w:sz w:val="24"/>
          <w:szCs w:val="24"/>
        </w:rPr>
        <w:t xml:space="preserve">For now, the focus will be getting responses from GBV </w:t>
      </w:r>
      <w:proofErr w:type="spellStart"/>
      <w:r w:rsidRPr="005D13D6">
        <w:rPr>
          <w:rFonts w:ascii="Calibri" w:hAnsi="Calibri" w:cs="Times New Roman"/>
          <w:sz w:val="24"/>
          <w:szCs w:val="24"/>
        </w:rPr>
        <w:t>AoR</w:t>
      </w:r>
      <w:proofErr w:type="spellEnd"/>
      <w:r w:rsidRPr="005D13D6">
        <w:rPr>
          <w:rFonts w:ascii="Calibri" w:hAnsi="Calibri" w:cs="Times New Roman"/>
          <w:sz w:val="24"/>
          <w:szCs w:val="24"/>
        </w:rPr>
        <w:t>/GBV Sub-Clusters.</w:t>
      </w:r>
    </w:p>
    <w:p w14:paraId="43F7B344" w14:textId="5F1E9080" w:rsidR="00BF6761" w:rsidRPr="004D1527" w:rsidRDefault="005D13D6" w:rsidP="004D1527">
      <w:pPr>
        <w:pStyle w:val="ListParagraph"/>
        <w:numPr>
          <w:ilvl w:val="0"/>
          <w:numId w:val="17"/>
        </w:numPr>
        <w:rPr>
          <w:sz w:val="24"/>
          <w:szCs w:val="24"/>
        </w:rPr>
      </w:pPr>
      <w:r>
        <w:rPr>
          <w:sz w:val="24"/>
          <w:szCs w:val="24"/>
        </w:rPr>
        <w:t>IASC Disability Task Team to s</w:t>
      </w:r>
      <w:r w:rsidR="00C214CB" w:rsidRPr="005D13D6">
        <w:rPr>
          <w:sz w:val="24"/>
          <w:szCs w:val="24"/>
        </w:rPr>
        <w:t>et criteria for the piloting process</w:t>
      </w:r>
      <w:r>
        <w:rPr>
          <w:sz w:val="24"/>
          <w:szCs w:val="24"/>
        </w:rPr>
        <w:t xml:space="preserve"> and circulate through the GBV </w:t>
      </w:r>
      <w:proofErr w:type="spellStart"/>
      <w:r>
        <w:rPr>
          <w:sz w:val="24"/>
          <w:szCs w:val="24"/>
        </w:rPr>
        <w:t>AoR</w:t>
      </w:r>
      <w:proofErr w:type="spellEnd"/>
      <w:r>
        <w:rPr>
          <w:sz w:val="24"/>
          <w:szCs w:val="24"/>
        </w:rPr>
        <w:t xml:space="preserve"> for feedback.</w:t>
      </w:r>
    </w:p>
    <w:p w14:paraId="26A42F0A" w14:textId="2815890C" w:rsidR="00A836A2" w:rsidRDefault="005D13D6" w:rsidP="00A836A2">
      <w:pPr>
        <w:pStyle w:val="ListParagraph"/>
        <w:numPr>
          <w:ilvl w:val="0"/>
          <w:numId w:val="17"/>
        </w:numPr>
        <w:rPr>
          <w:sz w:val="24"/>
          <w:szCs w:val="24"/>
        </w:rPr>
      </w:pPr>
      <w:r>
        <w:rPr>
          <w:sz w:val="24"/>
          <w:szCs w:val="24"/>
        </w:rPr>
        <w:t>WRC to submit report from this session, including recommendations moving forward, to the IASC Disability Task Team.</w:t>
      </w:r>
    </w:p>
    <w:p w14:paraId="5D375146" w14:textId="2ED9D4FF" w:rsidR="004D1527" w:rsidRDefault="004D1527" w:rsidP="004D1527">
      <w:pPr>
        <w:rPr>
          <w:sz w:val="24"/>
          <w:szCs w:val="24"/>
        </w:rPr>
      </w:pPr>
    </w:p>
    <w:p w14:paraId="75CD105A" w14:textId="4952F2A9" w:rsidR="004D1527" w:rsidRPr="004D1527" w:rsidRDefault="004D1527" w:rsidP="004D1527">
      <w:pPr>
        <w:rPr>
          <w:sz w:val="24"/>
          <w:szCs w:val="24"/>
        </w:rPr>
      </w:pPr>
      <w:r>
        <w:rPr>
          <w:sz w:val="24"/>
          <w:szCs w:val="24"/>
        </w:rPr>
        <w:t xml:space="preserve">For more information, please contact Emma Pearce at </w:t>
      </w:r>
      <w:hyperlink r:id="rId9" w:history="1">
        <w:r w:rsidRPr="009125CC">
          <w:rPr>
            <w:rStyle w:val="Hyperlink"/>
            <w:sz w:val="24"/>
            <w:szCs w:val="24"/>
          </w:rPr>
          <w:t>EmmaP@wrcommission.org</w:t>
        </w:r>
      </w:hyperlink>
      <w:r>
        <w:rPr>
          <w:sz w:val="24"/>
          <w:szCs w:val="24"/>
        </w:rPr>
        <w:t xml:space="preserve"> and Boram Lee at </w:t>
      </w:r>
      <w:hyperlink r:id="rId10" w:history="1">
        <w:r w:rsidRPr="009125CC">
          <w:rPr>
            <w:rStyle w:val="Hyperlink"/>
            <w:sz w:val="24"/>
            <w:szCs w:val="24"/>
          </w:rPr>
          <w:t>BoramL@wrcommission.org</w:t>
        </w:r>
      </w:hyperlink>
      <w:r>
        <w:rPr>
          <w:sz w:val="24"/>
          <w:szCs w:val="24"/>
        </w:rPr>
        <w:t xml:space="preserve">. </w:t>
      </w:r>
    </w:p>
    <w:sectPr w:rsidR="004D1527" w:rsidRPr="004D1527">
      <w:footerReference w:type="even" r:id="rId11"/>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D4A2" w14:textId="77777777" w:rsidR="004B581D" w:rsidRDefault="004B581D" w:rsidP="00BB6319">
      <w:pPr>
        <w:spacing w:line="240" w:lineRule="auto"/>
      </w:pPr>
      <w:r>
        <w:separator/>
      </w:r>
    </w:p>
  </w:endnote>
  <w:endnote w:type="continuationSeparator" w:id="0">
    <w:p w14:paraId="335C33EF" w14:textId="77777777" w:rsidR="004B581D" w:rsidRDefault="004B581D" w:rsidP="00BB6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2464720"/>
      <w:docPartObj>
        <w:docPartGallery w:val="Page Numbers (Bottom of Page)"/>
        <w:docPartUnique/>
      </w:docPartObj>
    </w:sdtPr>
    <w:sdtEndPr>
      <w:rPr>
        <w:rStyle w:val="PageNumber"/>
      </w:rPr>
    </w:sdtEndPr>
    <w:sdtContent>
      <w:p w14:paraId="64259F96" w14:textId="3F849BD8" w:rsidR="00BB6319" w:rsidRDefault="00BB6319" w:rsidP="002F4D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37B80" w14:textId="77777777" w:rsidR="00BB6319" w:rsidRDefault="00BB6319" w:rsidP="00BB6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0949866"/>
      <w:docPartObj>
        <w:docPartGallery w:val="Page Numbers (Bottom of Page)"/>
        <w:docPartUnique/>
      </w:docPartObj>
    </w:sdtPr>
    <w:sdtEndPr>
      <w:rPr>
        <w:rStyle w:val="PageNumber"/>
      </w:rPr>
    </w:sdtEndPr>
    <w:sdtContent>
      <w:p w14:paraId="5CB2EFEB" w14:textId="1B9AD9FD" w:rsidR="00BB6319" w:rsidRDefault="00BB6319" w:rsidP="002F4D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F9AEC7" w14:textId="77777777" w:rsidR="00BB6319" w:rsidRDefault="00BB6319" w:rsidP="00BB63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A7416" w14:textId="77777777" w:rsidR="004B581D" w:rsidRDefault="004B581D" w:rsidP="00BB6319">
      <w:pPr>
        <w:spacing w:line="240" w:lineRule="auto"/>
      </w:pPr>
      <w:r>
        <w:separator/>
      </w:r>
    </w:p>
  </w:footnote>
  <w:footnote w:type="continuationSeparator" w:id="0">
    <w:p w14:paraId="634BA991" w14:textId="77777777" w:rsidR="004B581D" w:rsidRDefault="004B581D" w:rsidP="00BB63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AAD"/>
    <w:multiLevelType w:val="hybridMultilevel"/>
    <w:tmpl w:val="3D7E5CE8"/>
    <w:lvl w:ilvl="0" w:tplc="E690DA58">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1E92"/>
    <w:multiLevelType w:val="hybridMultilevel"/>
    <w:tmpl w:val="327E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560D7"/>
    <w:multiLevelType w:val="hybridMultilevel"/>
    <w:tmpl w:val="CDD8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76E5"/>
    <w:multiLevelType w:val="hybridMultilevel"/>
    <w:tmpl w:val="1D56ADDE"/>
    <w:lvl w:ilvl="0" w:tplc="E690DA58">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0004"/>
    <w:multiLevelType w:val="hybridMultilevel"/>
    <w:tmpl w:val="4578A420"/>
    <w:lvl w:ilvl="0" w:tplc="99F0230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C3D92"/>
    <w:multiLevelType w:val="hybridMultilevel"/>
    <w:tmpl w:val="7486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6259D"/>
    <w:multiLevelType w:val="hybridMultilevel"/>
    <w:tmpl w:val="5D84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508A0"/>
    <w:multiLevelType w:val="hybridMultilevel"/>
    <w:tmpl w:val="FFC24004"/>
    <w:lvl w:ilvl="0" w:tplc="E690DA58">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40A58"/>
    <w:multiLevelType w:val="hybridMultilevel"/>
    <w:tmpl w:val="FE06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D3C8B"/>
    <w:multiLevelType w:val="hybridMultilevel"/>
    <w:tmpl w:val="E55461AC"/>
    <w:lvl w:ilvl="0" w:tplc="8B861C1C">
      <w:start w:val="1"/>
      <w:numFmt w:val="bullet"/>
      <w:lvlText w:val="•"/>
      <w:lvlJc w:val="left"/>
      <w:pPr>
        <w:tabs>
          <w:tab w:val="num" w:pos="720"/>
        </w:tabs>
        <w:ind w:left="720" w:hanging="360"/>
      </w:pPr>
      <w:rPr>
        <w:rFonts w:ascii="Arial" w:hAnsi="Arial" w:hint="default"/>
      </w:rPr>
    </w:lvl>
    <w:lvl w:ilvl="1" w:tplc="BC50BC6A">
      <w:start w:val="274"/>
      <w:numFmt w:val="bullet"/>
      <w:lvlText w:val="-"/>
      <w:lvlJc w:val="left"/>
      <w:pPr>
        <w:tabs>
          <w:tab w:val="num" w:pos="1440"/>
        </w:tabs>
        <w:ind w:left="1440" w:hanging="360"/>
      </w:pPr>
      <w:rPr>
        <w:rFonts w:ascii="Times New Roman" w:hAnsi="Times New Roman" w:hint="default"/>
      </w:rPr>
    </w:lvl>
    <w:lvl w:ilvl="2" w:tplc="C530462C" w:tentative="1">
      <w:start w:val="1"/>
      <w:numFmt w:val="bullet"/>
      <w:lvlText w:val="•"/>
      <w:lvlJc w:val="left"/>
      <w:pPr>
        <w:tabs>
          <w:tab w:val="num" w:pos="2160"/>
        </w:tabs>
        <w:ind w:left="2160" w:hanging="360"/>
      </w:pPr>
      <w:rPr>
        <w:rFonts w:ascii="Arial" w:hAnsi="Arial" w:hint="default"/>
      </w:rPr>
    </w:lvl>
    <w:lvl w:ilvl="3" w:tplc="6B109EA2" w:tentative="1">
      <w:start w:val="1"/>
      <w:numFmt w:val="bullet"/>
      <w:lvlText w:val="•"/>
      <w:lvlJc w:val="left"/>
      <w:pPr>
        <w:tabs>
          <w:tab w:val="num" w:pos="2880"/>
        </w:tabs>
        <w:ind w:left="2880" w:hanging="360"/>
      </w:pPr>
      <w:rPr>
        <w:rFonts w:ascii="Arial" w:hAnsi="Arial" w:hint="default"/>
      </w:rPr>
    </w:lvl>
    <w:lvl w:ilvl="4" w:tplc="14C87BAE" w:tentative="1">
      <w:start w:val="1"/>
      <w:numFmt w:val="bullet"/>
      <w:lvlText w:val="•"/>
      <w:lvlJc w:val="left"/>
      <w:pPr>
        <w:tabs>
          <w:tab w:val="num" w:pos="3600"/>
        </w:tabs>
        <w:ind w:left="3600" w:hanging="360"/>
      </w:pPr>
      <w:rPr>
        <w:rFonts w:ascii="Arial" w:hAnsi="Arial" w:hint="default"/>
      </w:rPr>
    </w:lvl>
    <w:lvl w:ilvl="5" w:tplc="461AA854" w:tentative="1">
      <w:start w:val="1"/>
      <w:numFmt w:val="bullet"/>
      <w:lvlText w:val="•"/>
      <w:lvlJc w:val="left"/>
      <w:pPr>
        <w:tabs>
          <w:tab w:val="num" w:pos="4320"/>
        </w:tabs>
        <w:ind w:left="4320" w:hanging="360"/>
      </w:pPr>
      <w:rPr>
        <w:rFonts w:ascii="Arial" w:hAnsi="Arial" w:hint="default"/>
      </w:rPr>
    </w:lvl>
    <w:lvl w:ilvl="6" w:tplc="1C58DB28" w:tentative="1">
      <w:start w:val="1"/>
      <w:numFmt w:val="bullet"/>
      <w:lvlText w:val="•"/>
      <w:lvlJc w:val="left"/>
      <w:pPr>
        <w:tabs>
          <w:tab w:val="num" w:pos="5040"/>
        </w:tabs>
        <w:ind w:left="5040" w:hanging="360"/>
      </w:pPr>
      <w:rPr>
        <w:rFonts w:ascii="Arial" w:hAnsi="Arial" w:hint="default"/>
      </w:rPr>
    </w:lvl>
    <w:lvl w:ilvl="7" w:tplc="1876A7F8" w:tentative="1">
      <w:start w:val="1"/>
      <w:numFmt w:val="bullet"/>
      <w:lvlText w:val="•"/>
      <w:lvlJc w:val="left"/>
      <w:pPr>
        <w:tabs>
          <w:tab w:val="num" w:pos="5760"/>
        </w:tabs>
        <w:ind w:left="5760" w:hanging="360"/>
      </w:pPr>
      <w:rPr>
        <w:rFonts w:ascii="Arial" w:hAnsi="Arial" w:hint="default"/>
      </w:rPr>
    </w:lvl>
    <w:lvl w:ilvl="8" w:tplc="456238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E6759D"/>
    <w:multiLevelType w:val="hybridMultilevel"/>
    <w:tmpl w:val="B94C1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907DA"/>
    <w:multiLevelType w:val="hybridMultilevel"/>
    <w:tmpl w:val="AAF273F8"/>
    <w:lvl w:ilvl="0" w:tplc="9698DD62">
      <w:start w:val="1"/>
      <w:numFmt w:val="bullet"/>
      <w:lvlText w:val="-"/>
      <w:lvlJc w:val="left"/>
      <w:pPr>
        <w:tabs>
          <w:tab w:val="num" w:pos="720"/>
        </w:tabs>
        <w:ind w:left="720" w:hanging="360"/>
      </w:pPr>
      <w:rPr>
        <w:rFonts w:ascii="Times New Roman" w:hAnsi="Times New Roman" w:hint="default"/>
      </w:rPr>
    </w:lvl>
    <w:lvl w:ilvl="1" w:tplc="B9E89234">
      <w:start w:val="1"/>
      <w:numFmt w:val="bullet"/>
      <w:lvlText w:val="-"/>
      <w:lvlJc w:val="left"/>
      <w:pPr>
        <w:tabs>
          <w:tab w:val="num" w:pos="1440"/>
        </w:tabs>
        <w:ind w:left="1440" w:hanging="360"/>
      </w:pPr>
      <w:rPr>
        <w:rFonts w:ascii="Times New Roman" w:hAnsi="Times New Roman" w:hint="default"/>
      </w:rPr>
    </w:lvl>
    <w:lvl w:ilvl="2" w:tplc="430E0514" w:tentative="1">
      <w:start w:val="1"/>
      <w:numFmt w:val="bullet"/>
      <w:lvlText w:val="-"/>
      <w:lvlJc w:val="left"/>
      <w:pPr>
        <w:tabs>
          <w:tab w:val="num" w:pos="2160"/>
        </w:tabs>
        <w:ind w:left="2160" w:hanging="360"/>
      </w:pPr>
      <w:rPr>
        <w:rFonts w:ascii="Times New Roman" w:hAnsi="Times New Roman" w:hint="default"/>
      </w:rPr>
    </w:lvl>
    <w:lvl w:ilvl="3" w:tplc="220C99E8" w:tentative="1">
      <w:start w:val="1"/>
      <w:numFmt w:val="bullet"/>
      <w:lvlText w:val="-"/>
      <w:lvlJc w:val="left"/>
      <w:pPr>
        <w:tabs>
          <w:tab w:val="num" w:pos="2880"/>
        </w:tabs>
        <w:ind w:left="2880" w:hanging="360"/>
      </w:pPr>
      <w:rPr>
        <w:rFonts w:ascii="Times New Roman" w:hAnsi="Times New Roman" w:hint="default"/>
      </w:rPr>
    </w:lvl>
    <w:lvl w:ilvl="4" w:tplc="FB1889F0" w:tentative="1">
      <w:start w:val="1"/>
      <w:numFmt w:val="bullet"/>
      <w:lvlText w:val="-"/>
      <w:lvlJc w:val="left"/>
      <w:pPr>
        <w:tabs>
          <w:tab w:val="num" w:pos="3600"/>
        </w:tabs>
        <w:ind w:left="3600" w:hanging="360"/>
      </w:pPr>
      <w:rPr>
        <w:rFonts w:ascii="Times New Roman" w:hAnsi="Times New Roman" w:hint="default"/>
      </w:rPr>
    </w:lvl>
    <w:lvl w:ilvl="5" w:tplc="385C8C1C" w:tentative="1">
      <w:start w:val="1"/>
      <w:numFmt w:val="bullet"/>
      <w:lvlText w:val="-"/>
      <w:lvlJc w:val="left"/>
      <w:pPr>
        <w:tabs>
          <w:tab w:val="num" w:pos="4320"/>
        </w:tabs>
        <w:ind w:left="4320" w:hanging="360"/>
      </w:pPr>
      <w:rPr>
        <w:rFonts w:ascii="Times New Roman" w:hAnsi="Times New Roman" w:hint="default"/>
      </w:rPr>
    </w:lvl>
    <w:lvl w:ilvl="6" w:tplc="B5A4FEC0" w:tentative="1">
      <w:start w:val="1"/>
      <w:numFmt w:val="bullet"/>
      <w:lvlText w:val="-"/>
      <w:lvlJc w:val="left"/>
      <w:pPr>
        <w:tabs>
          <w:tab w:val="num" w:pos="5040"/>
        </w:tabs>
        <w:ind w:left="5040" w:hanging="360"/>
      </w:pPr>
      <w:rPr>
        <w:rFonts w:ascii="Times New Roman" w:hAnsi="Times New Roman" w:hint="default"/>
      </w:rPr>
    </w:lvl>
    <w:lvl w:ilvl="7" w:tplc="A82ADBBC" w:tentative="1">
      <w:start w:val="1"/>
      <w:numFmt w:val="bullet"/>
      <w:lvlText w:val="-"/>
      <w:lvlJc w:val="left"/>
      <w:pPr>
        <w:tabs>
          <w:tab w:val="num" w:pos="5760"/>
        </w:tabs>
        <w:ind w:left="5760" w:hanging="360"/>
      </w:pPr>
      <w:rPr>
        <w:rFonts w:ascii="Times New Roman" w:hAnsi="Times New Roman" w:hint="default"/>
      </w:rPr>
    </w:lvl>
    <w:lvl w:ilvl="8" w:tplc="47BA42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4C20B9F"/>
    <w:multiLevelType w:val="hybridMultilevel"/>
    <w:tmpl w:val="0F989628"/>
    <w:lvl w:ilvl="0" w:tplc="FACE3CC6">
      <w:start w:val="1"/>
      <w:numFmt w:val="bullet"/>
      <w:lvlText w:val="•"/>
      <w:lvlJc w:val="left"/>
      <w:pPr>
        <w:tabs>
          <w:tab w:val="num" w:pos="720"/>
        </w:tabs>
        <w:ind w:left="720" w:hanging="360"/>
      </w:pPr>
      <w:rPr>
        <w:rFonts w:ascii="Arial" w:hAnsi="Arial" w:hint="default"/>
      </w:rPr>
    </w:lvl>
    <w:lvl w:ilvl="1" w:tplc="091AA7C8" w:tentative="1">
      <w:start w:val="1"/>
      <w:numFmt w:val="bullet"/>
      <w:lvlText w:val="•"/>
      <w:lvlJc w:val="left"/>
      <w:pPr>
        <w:tabs>
          <w:tab w:val="num" w:pos="1440"/>
        </w:tabs>
        <w:ind w:left="1440" w:hanging="360"/>
      </w:pPr>
      <w:rPr>
        <w:rFonts w:ascii="Arial" w:hAnsi="Arial" w:hint="default"/>
      </w:rPr>
    </w:lvl>
    <w:lvl w:ilvl="2" w:tplc="2CD67CE4" w:tentative="1">
      <w:start w:val="1"/>
      <w:numFmt w:val="bullet"/>
      <w:lvlText w:val="•"/>
      <w:lvlJc w:val="left"/>
      <w:pPr>
        <w:tabs>
          <w:tab w:val="num" w:pos="2160"/>
        </w:tabs>
        <w:ind w:left="2160" w:hanging="360"/>
      </w:pPr>
      <w:rPr>
        <w:rFonts w:ascii="Arial" w:hAnsi="Arial" w:hint="default"/>
      </w:rPr>
    </w:lvl>
    <w:lvl w:ilvl="3" w:tplc="ADC61FA0" w:tentative="1">
      <w:start w:val="1"/>
      <w:numFmt w:val="bullet"/>
      <w:lvlText w:val="•"/>
      <w:lvlJc w:val="left"/>
      <w:pPr>
        <w:tabs>
          <w:tab w:val="num" w:pos="2880"/>
        </w:tabs>
        <w:ind w:left="2880" w:hanging="360"/>
      </w:pPr>
      <w:rPr>
        <w:rFonts w:ascii="Arial" w:hAnsi="Arial" w:hint="default"/>
      </w:rPr>
    </w:lvl>
    <w:lvl w:ilvl="4" w:tplc="C6C03236" w:tentative="1">
      <w:start w:val="1"/>
      <w:numFmt w:val="bullet"/>
      <w:lvlText w:val="•"/>
      <w:lvlJc w:val="left"/>
      <w:pPr>
        <w:tabs>
          <w:tab w:val="num" w:pos="3600"/>
        </w:tabs>
        <w:ind w:left="3600" w:hanging="360"/>
      </w:pPr>
      <w:rPr>
        <w:rFonts w:ascii="Arial" w:hAnsi="Arial" w:hint="default"/>
      </w:rPr>
    </w:lvl>
    <w:lvl w:ilvl="5" w:tplc="A73658AC" w:tentative="1">
      <w:start w:val="1"/>
      <w:numFmt w:val="bullet"/>
      <w:lvlText w:val="•"/>
      <w:lvlJc w:val="left"/>
      <w:pPr>
        <w:tabs>
          <w:tab w:val="num" w:pos="4320"/>
        </w:tabs>
        <w:ind w:left="4320" w:hanging="360"/>
      </w:pPr>
      <w:rPr>
        <w:rFonts w:ascii="Arial" w:hAnsi="Arial" w:hint="default"/>
      </w:rPr>
    </w:lvl>
    <w:lvl w:ilvl="6" w:tplc="4B2E8904" w:tentative="1">
      <w:start w:val="1"/>
      <w:numFmt w:val="bullet"/>
      <w:lvlText w:val="•"/>
      <w:lvlJc w:val="left"/>
      <w:pPr>
        <w:tabs>
          <w:tab w:val="num" w:pos="5040"/>
        </w:tabs>
        <w:ind w:left="5040" w:hanging="360"/>
      </w:pPr>
      <w:rPr>
        <w:rFonts w:ascii="Arial" w:hAnsi="Arial" w:hint="default"/>
      </w:rPr>
    </w:lvl>
    <w:lvl w:ilvl="7" w:tplc="FD900C8C" w:tentative="1">
      <w:start w:val="1"/>
      <w:numFmt w:val="bullet"/>
      <w:lvlText w:val="•"/>
      <w:lvlJc w:val="left"/>
      <w:pPr>
        <w:tabs>
          <w:tab w:val="num" w:pos="5760"/>
        </w:tabs>
        <w:ind w:left="5760" w:hanging="360"/>
      </w:pPr>
      <w:rPr>
        <w:rFonts w:ascii="Arial" w:hAnsi="Arial" w:hint="default"/>
      </w:rPr>
    </w:lvl>
    <w:lvl w:ilvl="8" w:tplc="DA08F1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86008B"/>
    <w:multiLevelType w:val="hybridMultilevel"/>
    <w:tmpl w:val="04D0032A"/>
    <w:lvl w:ilvl="0" w:tplc="AA4CC99A">
      <w:start w:val="1"/>
      <w:numFmt w:val="bullet"/>
      <w:lvlText w:val="-"/>
      <w:lvlJc w:val="left"/>
      <w:pPr>
        <w:tabs>
          <w:tab w:val="num" w:pos="720"/>
        </w:tabs>
        <w:ind w:left="720" w:hanging="360"/>
      </w:pPr>
      <w:rPr>
        <w:rFonts w:ascii="Times New Roman" w:hAnsi="Times New Roman" w:hint="default"/>
      </w:rPr>
    </w:lvl>
    <w:lvl w:ilvl="1" w:tplc="9A16BD1A" w:tentative="1">
      <w:start w:val="1"/>
      <w:numFmt w:val="bullet"/>
      <w:lvlText w:val="-"/>
      <w:lvlJc w:val="left"/>
      <w:pPr>
        <w:tabs>
          <w:tab w:val="num" w:pos="1440"/>
        </w:tabs>
        <w:ind w:left="1440" w:hanging="360"/>
      </w:pPr>
      <w:rPr>
        <w:rFonts w:ascii="Times New Roman" w:hAnsi="Times New Roman" w:hint="default"/>
      </w:rPr>
    </w:lvl>
    <w:lvl w:ilvl="2" w:tplc="0A6416D2" w:tentative="1">
      <w:start w:val="1"/>
      <w:numFmt w:val="bullet"/>
      <w:lvlText w:val="-"/>
      <w:lvlJc w:val="left"/>
      <w:pPr>
        <w:tabs>
          <w:tab w:val="num" w:pos="2160"/>
        </w:tabs>
        <w:ind w:left="2160" w:hanging="360"/>
      </w:pPr>
      <w:rPr>
        <w:rFonts w:ascii="Times New Roman" w:hAnsi="Times New Roman" w:hint="default"/>
      </w:rPr>
    </w:lvl>
    <w:lvl w:ilvl="3" w:tplc="DA208640" w:tentative="1">
      <w:start w:val="1"/>
      <w:numFmt w:val="bullet"/>
      <w:lvlText w:val="-"/>
      <w:lvlJc w:val="left"/>
      <w:pPr>
        <w:tabs>
          <w:tab w:val="num" w:pos="2880"/>
        </w:tabs>
        <w:ind w:left="2880" w:hanging="360"/>
      </w:pPr>
      <w:rPr>
        <w:rFonts w:ascii="Times New Roman" w:hAnsi="Times New Roman" w:hint="default"/>
      </w:rPr>
    </w:lvl>
    <w:lvl w:ilvl="4" w:tplc="E71EFFEA" w:tentative="1">
      <w:start w:val="1"/>
      <w:numFmt w:val="bullet"/>
      <w:lvlText w:val="-"/>
      <w:lvlJc w:val="left"/>
      <w:pPr>
        <w:tabs>
          <w:tab w:val="num" w:pos="3600"/>
        </w:tabs>
        <w:ind w:left="3600" w:hanging="360"/>
      </w:pPr>
      <w:rPr>
        <w:rFonts w:ascii="Times New Roman" w:hAnsi="Times New Roman" w:hint="default"/>
      </w:rPr>
    </w:lvl>
    <w:lvl w:ilvl="5" w:tplc="4FD06D4E" w:tentative="1">
      <w:start w:val="1"/>
      <w:numFmt w:val="bullet"/>
      <w:lvlText w:val="-"/>
      <w:lvlJc w:val="left"/>
      <w:pPr>
        <w:tabs>
          <w:tab w:val="num" w:pos="4320"/>
        </w:tabs>
        <w:ind w:left="4320" w:hanging="360"/>
      </w:pPr>
      <w:rPr>
        <w:rFonts w:ascii="Times New Roman" w:hAnsi="Times New Roman" w:hint="default"/>
      </w:rPr>
    </w:lvl>
    <w:lvl w:ilvl="6" w:tplc="AE64AE86" w:tentative="1">
      <w:start w:val="1"/>
      <w:numFmt w:val="bullet"/>
      <w:lvlText w:val="-"/>
      <w:lvlJc w:val="left"/>
      <w:pPr>
        <w:tabs>
          <w:tab w:val="num" w:pos="5040"/>
        </w:tabs>
        <w:ind w:left="5040" w:hanging="360"/>
      </w:pPr>
      <w:rPr>
        <w:rFonts w:ascii="Times New Roman" w:hAnsi="Times New Roman" w:hint="default"/>
      </w:rPr>
    </w:lvl>
    <w:lvl w:ilvl="7" w:tplc="C80E7430" w:tentative="1">
      <w:start w:val="1"/>
      <w:numFmt w:val="bullet"/>
      <w:lvlText w:val="-"/>
      <w:lvlJc w:val="left"/>
      <w:pPr>
        <w:tabs>
          <w:tab w:val="num" w:pos="5760"/>
        </w:tabs>
        <w:ind w:left="5760" w:hanging="360"/>
      </w:pPr>
      <w:rPr>
        <w:rFonts w:ascii="Times New Roman" w:hAnsi="Times New Roman" w:hint="default"/>
      </w:rPr>
    </w:lvl>
    <w:lvl w:ilvl="8" w:tplc="F88474E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1180EBE"/>
    <w:multiLevelType w:val="hybridMultilevel"/>
    <w:tmpl w:val="48C6558C"/>
    <w:lvl w:ilvl="0" w:tplc="43B835B2">
      <w:start w:val="19"/>
      <w:numFmt w:val="decimal"/>
      <w:lvlText w:val="%1"/>
      <w:lvlJc w:val="left"/>
      <w:pPr>
        <w:ind w:left="720" w:hanging="360"/>
      </w:pPr>
      <w:rPr>
        <w:rFonts w:eastAsia="MS PGothic"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C7039"/>
    <w:multiLevelType w:val="hybridMultilevel"/>
    <w:tmpl w:val="31BA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45F2F"/>
    <w:multiLevelType w:val="hybridMultilevel"/>
    <w:tmpl w:val="B788855E"/>
    <w:lvl w:ilvl="0" w:tplc="4D2E59F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10"/>
  </w:num>
  <w:num w:numId="5">
    <w:abstractNumId w:val="5"/>
  </w:num>
  <w:num w:numId="6">
    <w:abstractNumId w:val="12"/>
  </w:num>
  <w:num w:numId="7">
    <w:abstractNumId w:val="13"/>
  </w:num>
  <w:num w:numId="8">
    <w:abstractNumId w:val="8"/>
  </w:num>
  <w:num w:numId="9">
    <w:abstractNumId w:val="9"/>
  </w:num>
  <w:num w:numId="10">
    <w:abstractNumId w:val="14"/>
  </w:num>
  <w:num w:numId="11">
    <w:abstractNumId w:val="16"/>
  </w:num>
  <w:num w:numId="12">
    <w:abstractNumId w:val="4"/>
  </w:num>
  <w:num w:numId="13">
    <w:abstractNumId w:val="3"/>
  </w:num>
  <w:num w:numId="14">
    <w:abstractNumId w:val="0"/>
  </w:num>
  <w:num w:numId="15">
    <w:abstractNumId w:val="1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6B"/>
    <w:rsid w:val="000508DC"/>
    <w:rsid w:val="0009217D"/>
    <w:rsid w:val="000B5251"/>
    <w:rsid w:val="001441B3"/>
    <w:rsid w:val="00325757"/>
    <w:rsid w:val="003722AD"/>
    <w:rsid w:val="00397498"/>
    <w:rsid w:val="003B554B"/>
    <w:rsid w:val="003C365F"/>
    <w:rsid w:val="003D2D63"/>
    <w:rsid w:val="00401D5D"/>
    <w:rsid w:val="004B581D"/>
    <w:rsid w:val="004D1527"/>
    <w:rsid w:val="004E34CC"/>
    <w:rsid w:val="005116AA"/>
    <w:rsid w:val="005510EF"/>
    <w:rsid w:val="00591D71"/>
    <w:rsid w:val="005D13D6"/>
    <w:rsid w:val="006606A5"/>
    <w:rsid w:val="00672882"/>
    <w:rsid w:val="00722AF0"/>
    <w:rsid w:val="007E2CEE"/>
    <w:rsid w:val="0080293A"/>
    <w:rsid w:val="00850B0D"/>
    <w:rsid w:val="00854BF3"/>
    <w:rsid w:val="0089396C"/>
    <w:rsid w:val="008C44B5"/>
    <w:rsid w:val="0097053C"/>
    <w:rsid w:val="009751F0"/>
    <w:rsid w:val="00A36DDD"/>
    <w:rsid w:val="00A836A2"/>
    <w:rsid w:val="00AE3521"/>
    <w:rsid w:val="00AE7EC6"/>
    <w:rsid w:val="00AF112C"/>
    <w:rsid w:val="00B16831"/>
    <w:rsid w:val="00B274FE"/>
    <w:rsid w:val="00BB6319"/>
    <w:rsid w:val="00BF6761"/>
    <w:rsid w:val="00C019A2"/>
    <w:rsid w:val="00C214CB"/>
    <w:rsid w:val="00C82F4C"/>
    <w:rsid w:val="00CD2739"/>
    <w:rsid w:val="00CD636B"/>
    <w:rsid w:val="00CE2AB3"/>
    <w:rsid w:val="00E35196"/>
    <w:rsid w:val="00ED3640"/>
    <w:rsid w:val="00F046D7"/>
    <w:rsid w:val="00F43363"/>
    <w:rsid w:val="00F4712E"/>
    <w:rsid w:val="00FD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06E5"/>
  <w15:docId w15:val="{143BAFC4-0F1B-4771-9ACF-7CF2ECA9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363"/>
    <w:pPr>
      <w:spacing w:after="0" w:line="264" w:lineRule="auto"/>
    </w:pPr>
    <w:rPr>
      <w:rFonts w:eastAsia="Times New Roman" w:cs="Arial"/>
      <w:color w:val="215868" w:themeColor="accent5" w:themeShade="80"/>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3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6B"/>
    <w:rPr>
      <w:rFonts w:ascii="Tahoma" w:hAnsi="Tahoma" w:cs="Tahoma"/>
      <w:sz w:val="16"/>
      <w:szCs w:val="16"/>
    </w:rPr>
  </w:style>
  <w:style w:type="paragraph" w:styleId="ListParagraph">
    <w:name w:val="List Paragraph"/>
    <w:basedOn w:val="Normal"/>
    <w:uiPriority w:val="34"/>
    <w:qFormat/>
    <w:rsid w:val="005116AA"/>
    <w:pPr>
      <w:ind w:left="720"/>
      <w:contextualSpacing/>
    </w:pPr>
  </w:style>
  <w:style w:type="paragraph" w:styleId="Footer">
    <w:name w:val="footer"/>
    <w:basedOn w:val="Normal"/>
    <w:link w:val="FooterChar"/>
    <w:uiPriority w:val="99"/>
    <w:unhideWhenUsed/>
    <w:rsid w:val="00BB6319"/>
    <w:pPr>
      <w:tabs>
        <w:tab w:val="center" w:pos="4680"/>
        <w:tab w:val="right" w:pos="9360"/>
      </w:tabs>
      <w:spacing w:line="240" w:lineRule="auto"/>
    </w:pPr>
  </w:style>
  <w:style w:type="character" w:customStyle="1" w:styleId="FooterChar">
    <w:name w:val="Footer Char"/>
    <w:basedOn w:val="DefaultParagraphFont"/>
    <w:link w:val="Footer"/>
    <w:uiPriority w:val="99"/>
    <w:rsid w:val="00BB6319"/>
    <w:rPr>
      <w:rFonts w:eastAsia="Times New Roman" w:cs="Arial"/>
      <w:color w:val="215868" w:themeColor="accent5" w:themeShade="80"/>
      <w:sz w:val="15"/>
      <w:szCs w:val="20"/>
    </w:rPr>
  </w:style>
  <w:style w:type="character" w:styleId="PageNumber">
    <w:name w:val="page number"/>
    <w:basedOn w:val="DefaultParagraphFont"/>
    <w:uiPriority w:val="99"/>
    <w:semiHidden/>
    <w:unhideWhenUsed/>
    <w:rsid w:val="00BB6319"/>
  </w:style>
  <w:style w:type="paragraph" w:styleId="NormalWeb">
    <w:name w:val="Normal (Web)"/>
    <w:basedOn w:val="Normal"/>
    <w:uiPriority w:val="99"/>
    <w:semiHidden/>
    <w:unhideWhenUsed/>
    <w:rsid w:val="00722AF0"/>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rsid w:val="00722AF0"/>
    <w:rPr>
      <w:color w:val="0000FF"/>
      <w:u w:val="single"/>
    </w:rPr>
  </w:style>
  <w:style w:type="character" w:styleId="UnresolvedMention">
    <w:name w:val="Unresolved Mention"/>
    <w:basedOn w:val="DefaultParagraphFont"/>
    <w:uiPriority w:val="99"/>
    <w:semiHidden/>
    <w:unhideWhenUsed/>
    <w:rsid w:val="004D1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0984">
      <w:bodyDiv w:val="1"/>
      <w:marLeft w:val="0"/>
      <w:marRight w:val="0"/>
      <w:marTop w:val="0"/>
      <w:marBottom w:val="0"/>
      <w:divBdr>
        <w:top w:val="none" w:sz="0" w:space="0" w:color="auto"/>
        <w:left w:val="none" w:sz="0" w:space="0" w:color="auto"/>
        <w:bottom w:val="none" w:sz="0" w:space="0" w:color="auto"/>
        <w:right w:val="none" w:sz="0" w:space="0" w:color="auto"/>
      </w:divBdr>
      <w:divsChild>
        <w:div w:id="1460100409">
          <w:marLeft w:val="720"/>
          <w:marRight w:val="0"/>
          <w:marTop w:val="0"/>
          <w:marBottom w:val="0"/>
          <w:divBdr>
            <w:top w:val="none" w:sz="0" w:space="0" w:color="auto"/>
            <w:left w:val="none" w:sz="0" w:space="0" w:color="auto"/>
            <w:bottom w:val="none" w:sz="0" w:space="0" w:color="auto"/>
            <w:right w:val="none" w:sz="0" w:space="0" w:color="auto"/>
          </w:divBdr>
        </w:div>
        <w:div w:id="781806783">
          <w:marLeft w:val="720"/>
          <w:marRight w:val="0"/>
          <w:marTop w:val="0"/>
          <w:marBottom w:val="0"/>
          <w:divBdr>
            <w:top w:val="none" w:sz="0" w:space="0" w:color="auto"/>
            <w:left w:val="none" w:sz="0" w:space="0" w:color="auto"/>
            <w:bottom w:val="none" w:sz="0" w:space="0" w:color="auto"/>
            <w:right w:val="none" w:sz="0" w:space="0" w:color="auto"/>
          </w:divBdr>
        </w:div>
      </w:divsChild>
    </w:div>
    <w:div w:id="220991684">
      <w:bodyDiv w:val="1"/>
      <w:marLeft w:val="0"/>
      <w:marRight w:val="0"/>
      <w:marTop w:val="0"/>
      <w:marBottom w:val="0"/>
      <w:divBdr>
        <w:top w:val="none" w:sz="0" w:space="0" w:color="auto"/>
        <w:left w:val="none" w:sz="0" w:space="0" w:color="auto"/>
        <w:bottom w:val="none" w:sz="0" w:space="0" w:color="auto"/>
        <w:right w:val="none" w:sz="0" w:space="0" w:color="auto"/>
      </w:divBdr>
      <w:divsChild>
        <w:div w:id="197938017">
          <w:marLeft w:val="547"/>
          <w:marRight w:val="0"/>
          <w:marTop w:val="120"/>
          <w:marBottom w:val="120"/>
          <w:divBdr>
            <w:top w:val="none" w:sz="0" w:space="0" w:color="auto"/>
            <w:left w:val="none" w:sz="0" w:space="0" w:color="auto"/>
            <w:bottom w:val="none" w:sz="0" w:space="0" w:color="auto"/>
            <w:right w:val="none" w:sz="0" w:space="0" w:color="auto"/>
          </w:divBdr>
        </w:div>
        <w:div w:id="1486513223">
          <w:marLeft w:val="547"/>
          <w:marRight w:val="0"/>
          <w:marTop w:val="120"/>
          <w:marBottom w:val="120"/>
          <w:divBdr>
            <w:top w:val="none" w:sz="0" w:space="0" w:color="auto"/>
            <w:left w:val="none" w:sz="0" w:space="0" w:color="auto"/>
            <w:bottom w:val="none" w:sz="0" w:space="0" w:color="auto"/>
            <w:right w:val="none" w:sz="0" w:space="0" w:color="auto"/>
          </w:divBdr>
        </w:div>
        <w:div w:id="2021929882">
          <w:marLeft w:val="1166"/>
          <w:marRight w:val="0"/>
          <w:marTop w:val="120"/>
          <w:marBottom w:val="120"/>
          <w:divBdr>
            <w:top w:val="none" w:sz="0" w:space="0" w:color="auto"/>
            <w:left w:val="none" w:sz="0" w:space="0" w:color="auto"/>
            <w:bottom w:val="none" w:sz="0" w:space="0" w:color="auto"/>
            <w:right w:val="none" w:sz="0" w:space="0" w:color="auto"/>
          </w:divBdr>
        </w:div>
        <w:div w:id="968900711">
          <w:marLeft w:val="1166"/>
          <w:marRight w:val="0"/>
          <w:marTop w:val="120"/>
          <w:marBottom w:val="120"/>
          <w:divBdr>
            <w:top w:val="none" w:sz="0" w:space="0" w:color="auto"/>
            <w:left w:val="none" w:sz="0" w:space="0" w:color="auto"/>
            <w:bottom w:val="none" w:sz="0" w:space="0" w:color="auto"/>
            <w:right w:val="none" w:sz="0" w:space="0" w:color="auto"/>
          </w:divBdr>
        </w:div>
        <w:div w:id="1395810131">
          <w:marLeft w:val="1166"/>
          <w:marRight w:val="0"/>
          <w:marTop w:val="120"/>
          <w:marBottom w:val="120"/>
          <w:divBdr>
            <w:top w:val="none" w:sz="0" w:space="0" w:color="auto"/>
            <w:left w:val="none" w:sz="0" w:space="0" w:color="auto"/>
            <w:bottom w:val="none" w:sz="0" w:space="0" w:color="auto"/>
            <w:right w:val="none" w:sz="0" w:space="0" w:color="auto"/>
          </w:divBdr>
        </w:div>
      </w:divsChild>
    </w:div>
    <w:div w:id="740444798">
      <w:bodyDiv w:val="1"/>
      <w:marLeft w:val="0"/>
      <w:marRight w:val="0"/>
      <w:marTop w:val="0"/>
      <w:marBottom w:val="0"/>
      <w:divBdr>
        <w:top w:val="none" w:sz="0" w:space="0" w:color="auto"/>
        <w:left w:val="none" w:sz="0" w:space="0" w:color="auto"/>
        <w:bottom w:val="none" w:sz="0" w:space="0" w:color="auto"/>
        <w:right w:val="none" w:sz="0" w:space="0" w:color="auto"/>
      </w:divBdr>
    </w:div>
    <w:div w:id="1738241354">
      <w:bodyDiv w:val="1"/>
      <w:marLeft w:val="0"/>
      <w:marRight w:val="0"/>
      <w:marTop w:val="0"/>
      <w:marBottom w:val="0"/>
      <w:divBdr>
        <w:top w:val="none" w:sz="0" w:space="0" w:color="auto"/>
        <w:left w:val="none" w:sz="0" w:space="0" w:color="auto"/>
        <w:bottom w:val="none" w:sz="0" w:space="0" w:color="auto"/>
        <w:right w:val="none" w:sz="0" w:space="0" w:color="auto"/>
      </w:divBdr>
    </w:div>
    <w:div w:id="1884319948">
      <w:bodyDiv w:val="1"/>
      <w:marLeft w:val="0"/>
      <w:marRight w:val="0"/>
      <w:marTop w:val="0"/>
      <w:marBottom w:val="0"/>
      <w:divBdr>
        <w:top w:val="none" w:sz="0" w:space="0" w:color="auto"/>
        <w:left w:val="none" w:sz="0" w:space="0" w:color="auto"/>
        <w:bottom w:val="none" w:sz="0" w:space="0" w:color="auto"/>
        <w:right w:val="none" w:sz="0" w:space="0" w:color="auto"/>
      </w:divBdr>
      <w:divsChild>
        <w:div w:id="1566843156">
          <w:marLeft w:val="547"/>
          <w:marRight w:val="0"/>
          <w:marTop w:val="134"/>
          <w:marBottom w:val="0"/>
          <w:divBdr>
            <w:top w:val="none" w:sz="0" w:space="0" w:color="auto"/>
            <w:left w:val="none" w:sz="0" w:space="0" w:color="auto"/>
            <w:bottom w:val="none" w:sz="0" w:space="0" w:color="auto"/>
            <w:right w:val="none" w:sz="0" w:space="0" w:color="auto"/>
          </w:divBdr>
        </w:div>
        <w:div w:id="973870513">
          <w:marLeft w:val="547"/>
          <w:marRight w:val="0"/>
          <w:marTop w:val="134"/>
          <w:marBottom w:val="0"/>
          <w:divBdr>
            <w:top w:val="none" w:sz="0" w:space="0" w:color="auto"/>
            <w:left w:val="none" w:sz="0" w:space="0" w:color="auto"/>
            <w:bottom w:val="none" w:sz="0" w:space="0" w:color="auto"/>
            <w:right w:val="none" w:sz="0" w:space="0" w:color="auto"/>
          </w:divBdr>
        </w:div>
        <w:div w:id="809320739">
          <w:marLeft w:val="547"/>
          <w:marRight w:val="0"/>
          <w:marTop w:val="134"/>
          <w:marBottom w:val="0"/>
          <w:divBdr>
            <w:top w:val="none" w:sz="0" w:space="0" w:color="auto"/>
            <w:left w:val="none" w:sz="0" w:space="0" w:color="auto"/>
            <w:bottom w:val="none" w:sz="0" w:space="0" w:color="auto"/>
            <w:right w:val="none" w:sz="0" w:space="0" w:color="auto"/>
          </w:divBdr>
        </w:div>
      </w:divsChild>
    </w:div>
    <w:div w:id="1953367024">
      <w:bodyDiv w:val="1"/>
      <w:marLeft w:val="0"/>
      <w:marRight w:val="0"/>
      <w:marTop w:val="0"/>
      <w:marBottom w:val="0"/>
      <w:divBdr>
        <w:top w:val="none" w:sz="0" w:space="0" w:color="auto"/>
        <w:left w:val="none" w:sz="0" w:space="0" w:color="auto"/>
        <w:bottom w:val="none" w:sz="0" w:space="0" w:color="auto"/>
        <w:right w:val="none" w:sz="0" w:space="0" w:color="auto"/>
      </w:divBdr>
      <w:divsChild>
        <w:div w:id="901255793">
          <w:marLeft w:val="547"/>
          <w:marRight w:val="0"/>
          <w:marTop w:val="120"/>
          <w:marBottom w:val="120"/>
          <w:divBdr>
            <w:top w:val="none" w:sz="0" w:space="0" w:color="auto"/>
            <w:left w:val="none" w:sz="0" w:space="0" w:color="auto"/>
            <w:bottom w:val="none" w:sz="0" w:space="0" w:color="auto"/>
            <w:right w:val="none" w:sz="0" w:space="0" w:color="auto"/>
          </w:divBdr>
        </w:div>
        <w:div w:id="217403720">
          <w:marLeft w:val="547"/>
          <w:marRight w:val="0"/>
          <w:marTop w:val="120"/>
          <w:marBottom w:val="120"/>
          <w:divBdr>
            <w:top w:val="none" w:sz="0" w:space="0" w:color="auto"/>
            <w:left w:val="none" w:sz="0" w:space="0" w:color="auto"/>
            <w:bottom w:val="none" w:sz="0" w:space="0" w:color="auto"/>
            <w:right w:val="none" w:sz="0" w:space="0" w:color="auto"/>
          </w:divBdr>
        </w:div>
        <w:div w:id="542445826">
          <w:marLeft w:val="547"/>
          <w:marRight w:val="0"/>
          <w:marTop w:val="120"/>
          <w:marBottom w:val="120"/>
          <w:divBdr>
            <w:top w:val="none" w:sz="0" w:space="0" w:color="auto"/>
            <w:left w:val="none" w:sz="0" w:space="0" w:color="auto"/>
            <w:bottom w:val="none" w:sz="0" w:space="0" w:color="auto"/>
            <w:right w:val="none" w:sz="0" w:space="0" w:color="auto"/>
          </w:divBdr>
        </w:div>
        <w:div w:id="140811697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gencystandingcommittee.org/iasc-task-team-inclusion-persons-disabilities-humanitarian-ac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ramL@wrcommission.org" TargetMode="External"/><Relationship Id="rId4" Type="http://schemas.openxmlformats.org/officeDocument/2006/relationships/settings" Target="settings.xml"/><Relationship Id="rId9" Type="http://schemas.openxmlformats.org/officeDocument/2006/relationships/hyperlink" Target="mailto:EmmaP@wrcommiss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4420-69A3-4411-94BD-D99A9CCC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UNFPA Geneva Office</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RUEHL</dc:creator>
  <cp:lastModifiedBy>Emma Pearce</cp:lastModifiedBy>
  <cp:revision>2</cp:revision>
  <dcterms:created xsi:type="dcterms:W3CDTF">2018-05-29T13:39:00Z</dcterms:created>
  <dcterms:modified xsi:type="dcterms:W3CDTF">2018-05-29T13:39:00Z</dcterms:modified>
</cp:coreProperties>
</file>