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23" w:rsidRDefault="00D16523" w:rsidP="00D16523">
      <w:pPr>
        <w:autoSpaceDE w:val="0"/>
        <w:autoSpaceDN w:val="0"/>
        <w:adjustRightInd w:val="0"/>
        <w:spacing w:after="0" w:line="240" w:lineRule="auto"/>
        <w:jc w:val="center"/>
        <w:rPr>
          <w:rFonts w:cs="Cambria"/>
          <w:b/>
          <w:sz w:val="28"/>
          <w:szCs w:val="24"/>
        </w:rPr>
      </w:pPr>
      <w:r w:rsidRPr="00D16523">
        <w:rPr>
          <w:rFonts w:cs="Cambria"/>
          <w:b/>
          <w:sz w:val="28"/>
          <w:szCs w:val="24"/>
        </w:rPr>
        <w:drawing>
          <wp:anchor distT="0" distB="0" distL="114300" distR="114300" simplePos="0" relativeHeight="251662336" behindDoc="0" locked="0" layoutInCell="1" allowOverlap="1">
            <wp:simplePos x="0" y="0"/>
            <wp:positionH relativeFrom="margin">
              <wp:align>center</wp:align>
            </wp:positionH>
            <wp:positionV relativeFrom="margin">
              <wp:posOffset>-171450</wp:posOffset>
            </wp:positionV>
            <wp:extent cx="800100" cy="1590675"/>
            <wp:effectExtent l="19050" t="0" r="0" b="0"/>
            <wp:wrapTopAndBottom/>
            <wp:docPr id="2" name="Picture 0" descr="WRC Final Bar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RC Final Bars.tif"/>
                    <pic:cNvPicPr>
                      <a:picLocks noChangeAspect="1" noChangeArrowheads="1"/>
                    </pic:cNvPicPr>
                  </pic:nvPicPr>
                  <pic:blipFill>
                    <a:blip r:embed="rId8" cstate="print"/>
                    <a:srcRect/>
                    <a:stretch>
                      <a:fillRect/>
                    </a:stretch>
                  </pic:blipFill>
                  <pic:spPr bwMode="auto">
                    <a:xfrm>
                      <a:off x="0" y="0"/>
                      <a:ext cx="800100" cy="1588135"/>
                    </a:xfrm>
                    <a:prstGeom prst="rect">
                      <a:avLst/>
                    </a:prstGeom>
                    <a:noFill/>
                    <a:ln w="9525">
                      <a:noFill/>
                      <a:miter lim="800000"/>
                      <a:headEnd/>
                      <a:tailEnd/>
                    </a:ln>
                  </pic:spPr>
                </pic:pic>
              </a:graphicData>
            </a:graphic>
          </wp:anchor>
        </w:drawing>
      </w:r>
    </w:p>
    <w:p w:rsidR="00D16523" w:rsidRDefault="00D16523" w:rsidP="00D16523">
      <w:pPr>
        <w:autoSpaceDE w:val="0"/>
        <w:autoSpaceDN w:val="0"/>
        <w:adjustRightInd w:val="0"/>
        <w:spacing w:after="0" w:line="240" w:lineRule="auto"/>
        <w:jc w:val="center"/>
        <w:rPr>
          <w:rFonts w:cs="Cambria"/>
          <w:b/>
          <w:sz w:val="28"/>
          <w:szCs w:val="24"/>
        </w:rPr>
      </w:pPr>
      <w:r>
        <w:rPr>
          <w:rFonts w:cs="Cambria"/>
          <w:b/>
          <w:sz w:val="28"/>
          <w:szCs w:val="24"/>
        </w:rPr>
        <w:t xml:space="preserve">IMMIGRATION LAWS AND WOMEN: </w:t>
      </w:r>
    </w:p>
    <w:p w:rsidR="00D16523" w:rsidRPr="000B08FA" w:rsidRDefault="00D16523" w:rsidP="00D16523">
      <w:pPr>
        <w:autoSpaceDE w:val="0"/>
        <w:autoSpaceDN w:val="0"/>
        <w:adjustRightInd w:val="0"/>
        <w:spacing w:after="0" w:line="240" w:lineRule="auto"/>
        <w:jc w:val="center"/>
        <w:rPr>
          <w:rFonts w:cs="Cambria"/>
          <w:b/>
          <w:sz w:val="24"/>
          <w:szCs w:val="24"/>
        </w:rPr>
      </w:pPr>
      <w:r>
        <w:rPr>
          <w:rFonts w:cs="Cambria"/>
          <w:b/>
          <w:sz w:val="28"/>
          <w:szCs w:val="24"/>
        </w:rPr>
        <w:t>A HISTORY OF UNFAIRNESS AND INEQUALITY</w:t>
      </w:r>
    </w:p>
    <w:p w:rsidR="00D16523" w:rsidRDefault="00D16523" w:rsidP="00D16523">
      <w:pPr>
        <w:autoSpaceDE w:val="0"/>
        <w:autoSpaceDN w:val="0"/>
        <w:adjustRightInd w:val="0"/>
        <w:spacing w:after="0" w:line="240" w:lineRule="auto"/>
        <w:jc w:val="center"/>
        <w:rPr>
          <w:rFonts w:cs="Cambria"/>
          <w:sz w:val="24"/>
          <w:szCs w:val="24"/>
        </w:rPr>
      </w:pPr>
    </w:p>
    <w:p w:rsidR="00D16523" w:rsidRPr="000B08FA" w:rsidRDefault="00D16523" w:rsidP="00D16523">
      <w:pPr>
        <w:pStyle w:val="ListParagraph"/>
        <w:numPr>
          <w:ilvl w:val="0"/>
          <w:numId w:val="1"/>
        </w:numPr>
        <w:autoSpaceDE w:val="0"/>
        <w:autoSpaceDN w:val="0"/>
        <w:adjustRightInd w:val="0"/>
        <w:spacing w:after="0" w:line="240" w:lineRule="auto"/>
        <w:rPr>
          <w:rFonts w:cs="Cambria"/>
          <w:sz w:val="24"/>
          <w:szCs w:val="24"/>
        </w:rPr>
      </w:pPr>
      <w:r w:rsidRPr="000B08FA">
        <w:rPr>
          <w:rFonts w:cs="Cambria"/>
          <w:sz w:val="24"/>
          <w:szCs w:val="24"/>
        </w:rPr>
        <w:t xml:space="preserve">A comprehensive </w:t>
      </w:r>
      <w:r>
        <w:rPr>
          <w:rFonts w:cs="Cambria"/>
          <w:sz w:val="24"/>
          <w:szCs w:val="24"/>
        </w:rPr>
        <w:t>review of the Immigration Reform and Control Act (IRCA)</w:t>
      </w:r>
      <w:r w:rsidRPr="000B08FA">
        <w:rPr>
          <w:rFonts w:cs="Cambria"/>
          <w:sz w:val="24"/>
          <w:szCs w:val="24"/>
        </w:rPr>
        <w:t xml:space="preserve"> found that undocumented women</w:t>
      </w:r>
      <w:r>
        <w:rPr>
          <w:rFonts w:cs="Cambria"/>
          <w:sz w:val="24"/>
          <w:szCs w:val="24"/>
        </w:rPr>
        <w:t xml:space="preserve"> who became eligible for legalization</w:t>
      </w:r>
      <w:r w:rsidRPr="000B08FA">
        <w:rPr>
          <w:rFonts w:cs="Cambria"/>
          <w:sz w:val="24"/>
          <w:szCs w:val="24"/>
        </w:rPr>
        <w:t xml:space="preserve"> faced “great difficulty” </w:t>
      </w:r>
      <w:r>
        <w:rPr>
          <w:rFonts w:cs="Cambria"/>
          <w:sz w:val="24"/>
          <w:szCs w:val="24"/>
        </w:rPr>
        <w:t xml:space="preserve">in legalizing </w:t>
      </w:r>
      <w:r w:rsidRPr="000B08FA">
        <w:rPr>
          <w:rFonts w:cs="Cambria"/>
          <w:sz w:val="24"/>
          <w:szCs w:val="24"/>
        </w:rPr>
        <w:t>because of a lack of documentation need</w:t>
      </w:r>
      <w:r>
        <w:rPr>
          <w:rFonts w:cs="Cambria"/>
          <w:sz w:val="24"/>
          <w:szCs w:val="24"/>
        </w:rPr>
        <w:t>ed</w:t>
      </w:r>
      <w:r w:rsidRPr="000B08FA">
        <w:rPr>
          <w:rFonts w:cs="Cambria"/>
          <w:sz w:val="24"/>
          <w:szCs w:val="24"/>
        </w:rPr>
        <w:t xml:space="preserve"> to demonstrate</w:t>
      </w:r>
      <w:r>
        <w:rPr>
          <w:rFonts w:cs="Cambria"/>
          <w:sz w:val="24"/>
          <w:szCs w:val="24"/>
        </w:rPr>
        <w:t xml:space="preserve"> that they had been</w:t>
      </w:r>
      <w:r w:rsidRPr="000B08FA">
        <w:rPr>
          <w:rFonts w:cs="Cambria"/>
          <w:sz w:val="24"/>
          <w:szCs w:val="24"/>
        </w:rPr>
        <w:t xml:space="preserve"> resid</w:t>
      </w:r>
      <w:r>
        <w:rPr>
          <w:rFonts w:cs="Cambria"/>
          <w:sz w:val="24"/>
          <w:szCs w:val="24"/>
        </w:rPr>
        <w:t>ing in the U.S.</w:t>
      </w:r>
      <w:r w:rsidRPr="000B08FA">
        <w:rPr>
          <w:rFonts w:cs="Cambria"/>
          <w:sz w:val="24"/>
          <w:szCs w:val="24"/>
        </w:rPr>
        <w:t xml:space="preserve"> since 1982.</w:t>
      </w:r>
      <w:r>
        <w:rPr>
          <w:rFonts w:cs="Cambria"/>
          <w:sz w:val="24"/>
          <w:szCs w:val="24"/>
        </w:rPr>
        <w:t xml:space="preserve"> </w:t>
      </w:r>
      <w:r w:rsidRPr="000B08FA">
        <w:rPr>
          <w:rFonts w:cs="Cambria"/>
          <w:sz w:val="24"/>
          <w:szCs w:val="24"/>
        </w:rPr>
        <w:t xml:space="preserve">The study by the Urban Institute and Rand Corporation found that women were less likely to have the necessary paper trail for two reasons: 1) important documents </w:t>
      </w:r>
      <w:r>
        <w:rPr>
          <w:rFonts w:cs="Cambria"/>
          <w:sz w:val="24"/>
          <w:szCs w:val="24"/>
        </w:rPr>
        <w:t>such as</w:t>
      </w:r>
      <w:r w:rsidRPr="000B08FA">
        <w:rPr>
          <w:rFonts w:cs="Cambria"/>
          <w:sz w:val="24"/>
          <w:szCs w:val="24"/>
        </w:rPr>
        <w:t xml:space="preserve"> leases, utility bills, and bank accounts were in their husband’s names and 2) many women worked as domestic workers in the informal economy. Women without documents were forced to rely on affidavits to prove their residence, resulting in higher levels of scrutiny, denials and extensive litigation.</w:t>
      </w:r>
      <w:r w:rsidRPr="000B08FA">
        <w:rPr>
          <w:rStyle w:val="FootnoteReference"/>
          <w:bCs/>
          <w:sz w:val="24"/>
          <w:szCs w:val="24"/>
        </w:rPr>
        <w:t xml:space="preserve"> </w:t>
      </w:r>
      <w:r>
        <w:rPr>
          <w:rStyle w:val="FootnoteReference"/>
          <w:rFonts w:cs="Cambria"/>
          <w:sz w:val="24"/>
          <w:szCs w:val="24"/>
        </w:rPr>
        <w:footnoteReference w:customMarkFollows="1" w:id="1"/>
        <w:t>1</w:t>
      </w:r>
    </w:p>
    <w:p w:rsidR="00D16523" w:rsidRPr="000B08FA" w:rsidRDefault="00D16523" w:rsidP="00D16523">
      <w:pPr>
        <w:autoSpaceDE w:val="0"/>
        <w:autoSpaceDN w:val="0"/>
        <w:adjustRightInd w:val="0"/>
        <w:spacing w:after="0" w:line="240" w:lineRule="auto"/>
        <w:rPr>
          <w:rFonts w:cs="Cambria"/>
          <w:sz w:val="24"/>
          <w:szCs w:val="24"/>
        </w:rPr>
      </w:pPr>
    </w:p>
    <w:p w:rsidR="00D16523" w:rsidRPr="000B08FA" w:rsidRDefault="00D16523" w:rsidP="00D16523">
      <w:pPr>
        <w:pStyle w:val="ListParagraph"/>
        <w:numPr>
          <w:ilvl w:val="0"/>
          <w:numId w:val="1"/>
        </w:numPr>
        <w:autoSpaceDE w:val="0"/>
        <w:autoSpaceDN w:val="0"/>
        <w:adjustRightInd w:val="0"/>
        <w:spacing w:after="0" w:line="240" w:lineRule="auto"/>
        <w:rPr>
          <w:rFonts w:cs="Cambria"/>
          <w:sz w:val="24"/>
          <w:szCs w:val="24"/>
        </w:rPr>
      </w:pPr>
      <w:r w:rsidRPr="000B08FA">
        <w:rPr>
          <w:rFonts w:cs="Cambria"/>
          <w:sz w:val="24"/>
          <w:szCs w:val="24"/>
        </w:rPr>
        <w:t>For the first 150 years of our nation’s history, women had no independent pathway to citizenship. They could only become citizens through their husbands or fathers. Women who did not have a husband or father to sponsor them had to find male relatives in the United States who would swear to support them. Affidavits from female relatives were not accepted.</w:t>
      </w:r>
      <w:r w:rsidRPr="000B08FA">
        <w:rPr>
          <w:rStyle w:val="FootnoteReference"/>
          <w:rFonts w:cs="Cambria"/>
          <w:sz w:val="24"/>
          <w:szCs w:val="24"/>
        </w:rPr>
        <w:t xml:space="preserve"> </w:t>
      </w:r>
      <w:r>
        <w:rPr>
          <w:rStyle w:val="FootnoteReference"/>
          <w:rFonts w:cs="Cambria"/>
          <w:sz w:val="24"/>
          <w:szCs w:val="24"/>
        </w:rPr>
        <w:footnoteReference w:customMarkFollows="1" w:id="2"/>
        <w:t>2</w:t>
      </w:r>
    </w:p>
    <w:p w:rsidR="00D16523" w:rsidRPr="000B08FA" w:rsidRDefault="00D16523" w:rsidP="00D16523">
      <w:pPr>
        <w:autoSpaceDE w:val="0"/>
        <w:autoSpaceDN w:val="0"/>
        <w:adjustRightInd w:val="0"/>
        <w:spacing w:after="0" w:line="240" w:lineRule="auto"/>
        <w:rPr>
          <w:rFonts w:cs="Cambria"/>
          <w:sz w:val="24"/>
          <w:szCs w:val="24"/>
        </w:rPr>
      </w:pPr>
    </w:p>
    <w:p w:rsidR="00D16523" w:rsidRPr="000B08FA" w:rsidRDefault="00D16523" w:rsidP="00D16523">
      <w:pPr>
        <w:pStyle w:val="ListParagraph"/>
        <w:numPr>
          <w:ilvl w:val="0"/>
          <w:numId w:val="1"/>
        </w:numPr>
        <w:autoSpaceDE w:val="0"/>
        <w:autoSpaceDN w:val="0"/>
        <w:adjustRightInd w:val="0"/>
        <w:spacing w:after="0" w:line="240" w:lineRule="auto"/>
        <w:rPr>
          <w:rFonts w:cs="Cambria"/>
          <w:sz w:val="24"/>
          <w:szCs w:val="24"/>
        </w:rPr>
      </w:pPr>
      <w:r w:rsidRPr="000B08FA">
        <w:rPr>
          <w:rFonts w:cs="Cambria"/>
          <w:sz w:val="24"/>
          <w:szCs w:val="24"/>
        </w:rPr>
        <w:t>Until the 1930s, mothers could not pass on their citizenship status to their children because as wives they had no nationality of their own.</w:t>
      </w:r>
      <w:r>
        <w:rPr>
          <w:rStyle w:val="FootnoteReference"/>
          <w:rFonts w:cs="Cambria"/>
          <w:sz w:val="24"/>
          <w:szCs w:val="24"/>
        </w:rPr>
        <w:footnoteReference w:customMarkFollows="1" w:id="3"/>
        <w:t>3</w:t>
      </w:r>
      <w:r w:rsidRPr="000B08FA">
        <w:rPr>
          <w:rFonts w:cs="Cambria"/>
          <w:sz w:val="24"/>
          <w:szCs w:val="24"/>
        </w:rPr>
        <w:t xml:space="preserve"> </w:t>
      </w:r>
    </w:p>
    <w:p w:rsidR="00D16523" w:rsidRPr="000B08FA" w:rsidRDefault="00D16523" w:rsidP="00D16523">
      <w:pPr>
        <w:autoSpaceDE w:val="0"/>
        <w:autoSpaceDN w:val="0"/>
        <w:adjustRightInd w:val="0"/>
        <w:spacing w:after="0" w:line="240" w:lineRule="auto"/>
        <w:rPr>
          <w:rFonts w:cs="Cambria"/>
          <w:sz w:val="24"/>
          <w:szCs w:val="24"/>
        </w:rPr>
      </w:pPr>
    </w:p>
    <w:p w:rsidR="00D16523" w:rsidRPr="000B08FA" w:rsidRDefault="00D16523" w:rsidP="00D16523">
      <w:pPr>
        <w:pStyle w:val="ListParagraph"/>
        <w:numPr>
          <w:ilvl w:val="0"/>
          <w:numId w:val="1"/>
        </w:numPr>
        <w:autoSpaceDE w:val="0"/>
        <w:autoSpaceDN w:val="0"/>
        <w:adjustRightInd w:val="0"/>
        <w:spacing w:after="0" w:line="240" w:lineRule="auto"/>
        <w:rPr>
          <w:rFonts w:cs="Cambria"/>
          <w:sz w:val="24"/>
          <w:szCs w:val="24"/>
        </w:rPr>
      </w:pPr>
      <w:r w:rsidRPr="000B08FA">
        <w:rPr>
          <w:rFonts w:cs="Cambria"/>
          <w:sz w:val="24"/>
          <w:szCs w:val="24"/>
        </w:rPr>
        <w:t xml:space="preserve">In the early 1900s, women who were American citizens could even </w:t>
      </w:r>
      <w:r w:rsidRPr="000B08FA">
        <w:rPr>
          <w:rFonts w:cs="Cambria"/>
          <w:i/>
          <w:sz w:val="24"/>
          <w:szCs w:val="24"/>
        </w:rPr>
        <w:t>lose</w:t>
      </w:r>
      <w:r w:rsidRPr="000B08FA">
        <w:rPr>
          <w:rFonts w:cs="Cambria"/>
          <w:sz w:val="24"/>
          <w:szCs w:val="24"/>
        </w:rPr>
        <w:t xml:space="preserve"> their citizenship if they married noncitizens because a wife’s citizenship status was derived from her husband.</w:t>
      </w:r>
      <w:r>
        <w:rPr>
          <w:rStyle w:val="FootnoteReference"/>
          <w:rFonts w:cs="Cambria"/>
          <w:sz w:val="24"/>
          <w:szCs w:val="24"/>
        </w:rPr>
        <w:footnoteReference w:customMarkFollows="1" w:id="4"/>
        <w:t>4</w:t>
      </w:r>
    </w:p>
    <w:p w:rsidR="00D16523" w:rsidRPr="000B08FA" w:rsidRDefault="00D16523" w:rsidP="00D16523">
      <w:pPr>
        <w:autoSpaceDE w:val="0"/>
        <w:autoSpaceDN w:val="0"/>
        <w:adjustRightInd w:val="0"/>
        <w:spacing w:after="0" w:line="240" w:lineRule="auto"/>
        <w:rPr>
          <w:rFonts w:cs="Cambria"/>
          <w:sz w:val="24"/>
          <w:szCs w:val="24"/>
        </w:rPr>
      </w:pPr>
    </w:p>
    <w:p w:rsidR="00D16523" w:rsidRPr="000B08FA" w:rsidRDefault="00D16523" w:rsidP="00D16523">
      <w:pPr>
        <w:pStyle w:val="ListParagraph"/>
        <w:numPr>
          <w:ilvl w:val="0"/>
          <w:numId w:val="1"/>
        </w:numPr>
        <w:autoSpaceDE w:val="0"/>
        <w:autoSpaceDN w:val="0"/>
        <w:adjustRightInd w:val="0"/>
        <w:spacing w:after="0" w:line="240" w:lineRule="auto"/>
        <w:rPr>
          <w:rFonts w:cs="Cambria"/>
          <w:sz w:val="24"/>
          <w:szCs w:val="24"/>
        </w:rPr>
      </w:pPr>
      <w:r w:rsidRPr="000B08FA">
        <w:rPr>
          <w:rFonts w:cs="Cambria"/>
          <w:sz w:val="24"/>
          <w:szCs w:val="24"/>
        </w:rPr>
        <w:t>Regardless of a woman’s skills</w:t>
      </w:r>
      <w:r>
        <w:rPr>
          <w:rFonts w:cs="Cambria"/>
          <w:sz w:val="24"/>
          <w:szCs w:val="24"/>
        </w:rPr>
        <w:t xml:space="preserve"> or abilities, at that time </w:t>
      </w:r>
      <w:r w:rsidRPr="000B08FA">
        <w:rPr>
          <w:rFonts w:cs="Cambria"/>
          <w:sz w:val="24"/>
          <w:szCs w:val="24"/>
        </w:rPr>
        <w:t xml:space="preserve">it was assumed that women could not be self-sufficient without a man. Women were routinely denied admission to </w:t>
      </w:r>
      <w:r w:rsidRPr="000B08FA">
        <w:rPr>
          <w:rFonts w:cs="Cambria"/>
          <w:sz w:val="24"/>
          <w:szCs w:val="24"/>
        </w:rPr>
        <w:lastRenderedPageBreak/>
        <w:t>the country if they arrived alone on the assumption that they would become “public charges” or prostitutes.</w:t>
      </w:r>
      <w:r>
        <w:rPr>
          <w:rStyle w:val="FootnoteReference"/>
          <w:rFonts w:cs="Cambria"/>
          <w:sz w:val="24"/>
          <w:szCs w:val="24"/>
        </w:rPr>
        <w:footnoteReference w:customMarkFollows="1" w:id="5"/>
        <w:t>5</w:t>
      </w:r>
    </w:p>
    <w:p w:rsidR="00D16523" w:rsidRPr="000B08FA" w:rsidRDefault="00D16523" w:rsidP="00D16523">
      <w:pPr>
        <w:autoSpaceDE w:val="0"/>
        <w:autoSpaceDN w:val="0"/>
        <w:adjustRightInd w:val="0"/>
        <w:spacing w:after="0" w:line="240" w:lineRule="auto"/>
        <w:rPr>
          <w:rFonts w:cs="Cambria"/>
          <w:sz w:val="24"/>
          <w:szCs w:val="24"/>
        </w:rPr>
      </w:pPr>
    </w:p>
    <w:p w:rsidR="00D16523" w:rsidRPr="000B08FA" w:rsidRDefault="00D16523" w:rsidP="00D16523">
      <w:pPr>
        <w:pStyle w:val="ListParagraph"/>
        <w:numPr>
          <w:ilvl w:val="0"/>
          <w:numId w:val="1"/>
        </w:numPr>
        <w:autoSpaceDE w:val="0"/>
        <w:autoSpaceDN w:val="0"/>
        <w:adjustRightInd w:val="0"/>
        <w:spacing w:after="0" w:line="240" w:lineRule="auto"/>
        <w:rPr>
          <w:rFonts w:cs="Cambria"/>
          <w:sz w:val="24"/>
          <w:szCs w:val="24"/>
        </w:rPr>
      </w:pPr>
      <w:r w:rsidRPr="000B08FA">
        <w:rPr>
          <w:rFonts w:cs="Cambria"/>
          <w:sz w:val="24"/>
          <w:szCs w:val="24"/>
        </w:rPr>
        <w:t>In the early 1900s, Congress made women excludable for prostitution and “any other immoral purpose.” Immigration officials frequently found that women involved in any kind of extramarital sexual relationship qualified as prostitutes. Immigration officials also launched widespread investigations of legally resident immigrants to ferret out women engaged in “prostitution.”</w:t>
      </w:r>
      <w:r>
        <w:rPr>
          <w:rStyle w:val="FootnoteReference"/>
          <w:rFonts w:cs="Cambria"/>
          <w:sz w:val="24"/>
          <w:szCs w:val="24"/>
        </w:rPr>
        <w:footnoteReference w:customMarkFollows="1" w:id="6"/>
        <w:t>6</w:t>
      </w:r>
      <w:r w:rsidRPr="000B08FA">
        <w:rPr>
          <w:rFonts w:cs="Cambria"/>
          <w:sz w:val="24"/>
          <w:szCs w:val="24"/>
        </w:rPr>
        <w:t xml:space="preserve"> </w:t>
      </w:r>
    </w:p>
    <w:p w:rsidR="00D16523" w:rsidRPr="000B08FA" w:rsidRDefault="00D16523" w:rsidP="00D16523">
      <w:pPr>
        <w:autoSpaceDE w:val="0"/>
        <w:autoSpaceDN w:val="0"/>
        <w:adjustRightInd w:val="0"/>
        <w:spacing w:after="0" w:line="240" w:lineRule="auto"/>
        <w:rPr>
          <w:rFonts w:cs="Cambria"/>
          <w:sz w:val="24"/>
          <w:szCs w:val="24"/>
        </w:rPr>
      </w:pPr>
    </w:p>
    <w:p w:rsidR="00D16523" w:rsidRPr="000B08FA" w:rsidRDefault="00D16523" w:rsidP="00D16523">
      <w:pPr>
        <w:pStyle w:val="ListParagraph"/>
        <w:numPr>
          <w:ilvl w:val="0"/>
          <w:numId w:val="1"/>
        </w:numPr>
        <w:autoSpaceDE w:val="0"/>
        <w:autoSpaceDN w:val="0"/>
        <w:adjustRightInd w:val="0"/>
        <w:spacing w:after="0" w:line="240" w:lineRule="auto"/>
        <w:rPr>
          <w:sz w:val="24"/>
          <w:szCs w:val="24"/>
        </w:rPr>
      </w:pPr>
      <w:r w:rsidRPr="000B08FA">
        <w:rPr>
          <w:sz w:val="24"/>
          <w:szCs w:val="24"/>
        </w:rPr>
        <w:t>Historically, our immigration laws have recognized the value of immigrant women’s contributions as domestic workers. The first laws banning contract laborers from immigrating to the United States carved out a special exemption for domestic workers. Exemptions were also made for agricultural workers and nurses.</w:t>
      </w:r>
      <w:r>
        <w:rPr>
          <w:rStyle w:val="FootnoteReference"/>
          <w:sz w:val="24"/>
          <w:szCs w:val="24"/>
        </w:rPr>
        <w:footnoteReference w:customMarkFollows="1" w:id="7"/>
        <w:t>7</w:t>
      </w:r>
      <w:r>
        <w:rPr>
          <w:sz w:val="24"/>
          <w:szCs w:val="24"/>
        </w:rPr>
        <w:t xml:space="preserve"> Despite this recognition, many past immigration reform proposals would have excluded many women domestic workers from legalization and a pathway to citizenship because they could not provide proof of work.</w:t>
      </w:r>
    </w:p>
    <w:p w:rsidR="00D16523" w:rsidRDefault="00D16523" w:rsidP="00D16523">
      <w:pPr>
        <w:autoSpaceDE w:val="0"/>
        <w:autoSpaceDN w:val="0"/>
        <w:adjustRightInd w:val="0"/>
        <w:spacing w:after="0" w:line="240" w:lineRule="auto"/>
        <w:rPr>
          <w:rFonts w:ascii="Cambria" w:hAnsi="Cambria" w:cs="Cambria"/>
          <w:sz w:val="18"/>
          <w:szCs w:val="18"/>
        </w:rPr>
      </w:pPr>
    </w:p>
    <w:p w:rsidR="00D16523" w:rsidRDefault="00D16523" w:rsidP="00D16523">
      <w:pPr>
        <w:autoSpaceDE w:val="0"/>
        <w:autoSpaceDN w:val="0"/>
        <w:adjustRightInd w:val="0"/>
        <w:spacing w:after="0" w:line="240" w:lineRule="auto"/>
        <w:rPr>
          <w:rFonts w:ascii="Cambria" w:hAnsi="Cambria" w:cs="Cambria"/>
          <w:sz w:val="18"/>
          <w:szCs w:val="18"/>
        </w:rPr>
      </w:pPr>
    </w:p>
    <w:p w:rsidR="001452CD" w:rsidRPr="00D16523" w:rsidRDefault="0028478E" w:rsidP="00D16523">
      <w:pPr>
        <w:rPr>
          <w:rFonts w:ascii="Cambria" w:hAnsi="Cambria" w:cs="Cambria"/>
          <w:sz w:val="18"/>
          <w:szCs w:val="18"/>
        </w:rPr>
      </w:pPr>
      <w:r>
        <w:rPr>
          <w:noProof/>
        </w:rPr>
        <w:pict>
          <v:shapetype id="_x0000_t202" coordsize="21600,21600" o:spt="202" path="m,l,21600r21600,l21600,xe">
            <v:stroke joinstyle="miter"/>
            <v:path gradientshapeok="t" o:connecttype="rect"/>
          </v:shapetype>
          <v:shape id="_x0000_s1032" type="#_x0000_t202" style="position:absolute;margin-left:0;margin-top:745.9pt;width:569.35pt;height:36.65pt;z-index:251660288;mso-position-horizontal:center;mso-position-vertical-relative:page" stroked="f">
            <v:textbox style="mso-next-textbox:#_x0000_s1032">
              <w:txbxContent>
                <w:p w:rsidR="00226EEB" w:rsidRPr="00692DE8" w:rsidRDefault="00226EEB" w:rsidP="00226EEB">
                  <w:pPr>
                    <w:pStyle w:val="BasicParagraph"/>
                    <w:jc w:val="distribute"/>
                    <w:rPr>
                      <w:rFonts w:ascii="Arial" w:hAnsi="Arial" w:cs="Arial"/>
                      <w:color w:val="323232"/>
                      <w:sz w:val="12"/>
                      <w:szCs w:val="12"/>
                    </w:rPr>
                  </w:pPr>
                  <w:r w:rsidRPr="00692DE8">
                    <w:rPr>
                      <w:rFonts w:ascii="Arial" w:hAnsi="Arial" w:cs="Arial"/>
                      <w:color w:val="323232"/>
                      <w:sz w:val="12"/>
                      <w:szCs w:val="12"/>
                    </w:rPr>
                    <w:t>______________________________________________________________________________________________________________________________________________________________________</w:t>
                  </w:r>
                </w:p>
                <w:p w:rsidR="00226EEB" w:rsidRPr="00692DE8" w:rsidRDefault="00226EEB" w:rsidP="00226EEB">
                  <w:pPr>
                    <w:pStyle w:val="BasicParagraph"/>
                    <w:jc w:val="center"/>
                    <w:rPr>
                      <w:rFonts w:ascii="Arial" w:hAnsi="Arial" w:cs="Arial"/>
                      <w:color w:val="323232"/>
                      <w:sz w:val="12"/>
                      <w:szCs w:val="12"/>
                    </w:rPr>
                  </w:pPr>
                  <w:r w:rsidRPr="00692DE8">
                    <w:rPr>
                      <w:rFonts w:ascii="Arial" w:hAnsi="Arial" w:cs="Arial"/>
                      <w:color w:val="323232"/>
                      <w:sz w:val="12"/>
                      <w:szCs w:val="12"/>
                    </w:rPr>
                    <w:t>The Women’s Refugee Commission was established in 1989 to address the particular needs of refugee and displaced women and children.</w:t>
                  </w:r>
                </w:p>
                <w:p w:rsidR="00226EEB" w:rsidRPr="00692DE8" w:rsidRDefault="00226EEB" w:rsidP="00226EEB">
                  <w:pPr>
                    <w:pStyle w:val="BasicParagraph"/>
                    <w:jc w:val="center"/>
                    <w:rPr>
                      <w:rFonts w:ascii="Arial" w:hAnsi="Arial" w:cs="Arial"/>
                      <w:color w:val="323232"/>
                      <w:sz w:val="11"/>
                      <w:szCs w:val="11"/>
                    </w:rPr>
                  </w:pPr>
                  <w:r w:rsidRPr="00692DE8">
                    <w:rPr>
                      <w:rFonts w:ascii="Arial" w:hAnsi="Arial" w:cs="Arial"/>
                      <w:color w:val="323232"/>
                      <w:sz w:val="11"/>
                      <w:szCs w:val="11"/>
                    </w:rPr>
                    <w:t>The Women’s Refugee Commission is legally part of the International Rescue Committee, a non-profit 501(c</w:t>
                  </w:r>
                  <w:proofErr w:type="gramStart"/>
                  <w:r w:rsidRPr="00692DE8">
                    <w:rPr>
                      <w:rFonts w:ascii="Arial" w:hAnsi="Arial" w:cs="Arial"/>
                      <w:color w:val="323232"/>
                      <w:sz w:val="11"/>
                      <w:szCs w:val="11"/>
                    </w:rPr>
                    <w:t>)(</w:t>
                  </w:r>
                  <w:proofErr w:type="gramEnd"/>
                  <w:r w:rsidRPr="00692DE8">
                    <w:rPr>
                      <w:rFonts w:ascii="Arial" w:hAnsi="Arial" w:cs="Arial"/>
                      <w:color w:val="323232"/>
                      <w:sz w:val="11"/>
                      <w:szCs w:val="11"/>
                    </w:rPr>
                    <w:t>3) organization. The Women’s Refugee Commission receives no direct financial support from the IRC.</w:t>
                  </w:r>
                </w:p>
              </w:txbxContent>
            </v:textbox>
            <w10:wrap type="square" anchory="page"/>
            <w10:anchorlock/>
          </v:shape>
        </w:pict>
      </w:r>
      <w:r>
        <w:rPr>
          <w:noProof/>
        </w:rPr>
        <w:pict>
          <v:shape id="_x0000_s1026" type="#_x0000_t202" style="position:absolute;margin-left:-5.55pt;margin-top:709.8pt;width:569.35pt;height:36.65pt;z-index:251656192" stroked="f">
            <v:textbox style="mso-next-textbox:#_x0000_s1026">
              <w:txbxContent>
                <w:p w:rsidR="00D106AB" w:rsidRPr="00692DE8" w:rsidRDefault="00D106AB" w:rsidP="00EE19CB">
                  <w:pPr>
                    <w:pStyle w:val="BasicParagraph"/>
                    <w:jc w:val="distribute"/>
                    <w:rPr>
                      <w:rFonts w:ascii="Arial" w:hAnsi="Arial" w:cs="Arial"/>
                      <w:color w:val="323232"/>
                      <w:sz w:val="12"/>
                      <w:szCs w:val="12"/>
                    </w:rPr>
                  </w:pPr>
                  <w:r w:rsidRPr="00692DE8">
                    <w:rPr>
                      <w:rFonts w:ascii="Arial" w:hAnsi="Arial" w:cs="Arial"/>
                      <w:color w:val="323232"/>
                      <w:sz w:val="12"/>
                      <w:szCs w:val="12"/>
                    </w:rPr>
                    <w:t>______________________________________________________________________________________________________________________________________________________________________</w:t>
                  </w:r>
                </w:p>
                <w:p w:rsidR="00D106AB" w:rsidRPr="00692DE8" w:rsidRDefault="00D106AB" w:rsidP="00EE19CB">
                  <w:pPr>
                    <w:pStyle w:val="BasicParagraph"/>
                    <w:jc w:val="center"/>
                    <w:rPr>
                      <w:rFonts w:ascii="Arial" w:hAnsi="Arial" w:cs="Arial"/>
                      <w:color w:val="323232"/>
                      <w:sz w:val="12"/>
                      <w:szCs w:val="12"/>
                    </w:rPr>
                  </w:pPr>
                  <w:r w:rsidRPr="00692DE8">
                    <w:rPr>
                      <w:rFonts w:ascii="Arial" w:hAnsi="Arial" w:cs="Arial"/>
                      <w:color w:val="323232"/>
                      <w:sz w:val="12"/>
                      <w:szCs w:val="12"/>
                    </w:rPr>
                    <w:t>The Women’s Refugee Commission was established in 1989 to address the particular needs of refugee and displaced women and children.</w:t>
                  </w:r>
                </w:p>
                <w:p w:rsidR="00D106AB" w:rsidRPr="00692DE8" w:rsidRDefault="00D106AB" w:rsidP="00602E58">
                  <w:pPr>
                    <w:pStyle w:val="BasicParagraph"/>
                    <w:jc w:val="center"/>
                    <w:rPr>
                      <w:rFonts w:ascii="Arial" w:hAnsi="Arial" w:cs="Arial"/>
                      <w:color w:val="323232"/>
                      <w:sz w:val="11"/>
                      <w:szCs w:val="11"/>
                    </w:rPr>
                  </w:pPr>
                  <w:r w:rsidRPr="00692DE8">
                    <w:rPr>
                      <w:rFonts w:ascii="Arial" w:hAnsi="Arial" w:cs="Arial"/>
                      <w:color w:val="323232"/>
                      <w:sz w:val="11"/>
                      <w:szCs w:val="11"/>
                    </w:rPr>
                    <w:t>The Women’s Refugee Commission is legally part of the International Rescue Committee, a non-profit 501(c</w:t>
                  </w:r>
                  <w:proofErr w:type="gramStart"/>
                  <w:r w:rsidRPr="00692DE8">
                    <w:rPr>
                      <w:rFonts w:ascii="Arial" w:hAnsi="Arial" w:cs="Arial"/>
                      <w:color w:val="323232"/>
                      <w:sz w:val="11"/>
                      <w:szCs w:val="11"/>
                    </w:rPr>
                    <w:t>)(</w:t>
                  </w:r>
                  <w:proofErr w:type="gramEnd"/>
                  <w:r w:rsidRPr="00692DE8">
                    <w:rPr>
                      <w:rFonts w:ascii="Arial" w:hAnsi="Arial" w:cs="Arial"/>
                      <w:color w:val="323232"/>
                      <w:sz w:val="11"/>
                      <w:szCs w:val="11"/>
                    </w:rPr>
                    <w:t>3) organization. The Women’s Refugee Commission receives no direct financial support from the IRC.</w:t>
                  </w:r>
                </w:p>
              </w:txbxContent>
            </v:textbox>
          </v:shape>
        </w:pict>
      </w:r>
    </w:p>
    <w:sectPr w:rsidR="001452CD" w:rsidRPr="00D16523" w:rsidSect="00B43487">
      <w:pgSz w:w="12240" w:h="15840"/>
      <w:pgMar w:top="720" w:right="1440" w:bottom="72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679" w:rsidRDefault="00593679" w:rsidP="00593679">
      <w:pPr>
        <w:spacing w:after="0" w:line="240" w:lineRule="auto"/>
      </w:pPr>
      <w:r>
        <w:separator/>
      </w:r>
    </w:p>
  </w:endnote>
  <w:endnote w:type="continuationSeparator" w:id="0">
    <w:p w:rsidR="00593679" w:rsidRDefault="00593679" w:rsidP="00593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679" w:rsidRDefault="00593679" w:rsidP="00593679">
      <w:pPr>
        <w:spacing w:after="0" w:line="240" w:lineRule="auto"/>
      </w:pPr>
      <w:r>
        <w:separator/>
      </w:r>
    </w:p>
  </w:footnote>
  <w:footnote w:type="continuationSeparator" w:id="0">
    <w:p w:rsidR="00593679" w:rsidRDefault="00593679" w:rsidP="00593679">
      <w:pPr>
        <w:spacing w:after="0" w:line="240" w:lineRule="auto"/>
      </w:pPr>
      <w:r>
        <w:continuationSeparator/>
      </w:r>
    </w:p>
  </w:footnote>
  <w:footnote w:id="1">
    <w:p w:rsidR="00D16523" w:rsidRPr="004614D1" w:rsidRDefault="00D16523" w:rsidP="00D16523">
      <w:pPr>
        <w:autoSpaceDE w:val="0"/>
        <w:autoSpaceDN w:val="0"/>
        <w:adjustRightInd w:val="0"/>
        <w:spacing w:after="0" w:line="240" w:lineRule="auto"/>
        <w:rPr>
          <w:b/>
          <w:sz w:val="30"/>
          <w:szCs w:val="16"/>
        </w:rPr>
      </w:pPr>
      <w:r>
        <w:rPr>
          <w:rStyle w:val="FootnoteReference"/>
          <w:sz w:val="20"/>
          <w:szCs w:val="20"/>
        </w:rPr>
        <w:t>1</w:t>
      </w:r>
      <w:r>
        <w:rPr>
          <w:sz w:val="20"/>
          <w:szCs w:val="20"/>
        </w:rPr>
        <w:t xml:space="preserve"> </w:t>
      </w:r>
      <w:r w:rsidRPr="005D3022">
        <w:rPr>
          <w:sz w:val="20"/>
          <w:szCs w:val="20"/>
        </w:rPr>
        <w:t>Baker, Susan Gonzalez.</w:t>
      </w:r>
      <w:r w:rsidRPr="005D3022">
        <w:rPr>
          <w:b/>
          <w:bCs/>
          <w:sz w:val="20"/>
          <w:szCs w:val="20"/>
        </w:rPr>
        <w:t xml:space="preserve"> </w:t>
      </w:r>
      <w:r w:rsidRPr="005D3022">
        <w:rPr>
          <w:bCs/>
          <w:sz w:val="20"/>
          <w:szCs w:val="20"/>
        </w:rPr>
        <w:t>The Cautious Welcome: The Legalization Programs of the Immigration Reform and Control Act. Washington, DC: The Urban Institute Press and the Rand Corporation (1990)</w:t>
      </w:r>
      <w:r w:rsidRPr="005D3022">
        <w:rPr>
          <w:sz w:val="20"/>
          <w:szCs w:val="20"/>
        </w:rPr>
        <w:t xml:space="preserve"> at 137-8. </w:t>
      </w:r>
      <w:r w:rsidRPr="005D3022">
        <w:rPr>
          <w:i/>
          <w:sz w:val="20"/>
          <w:szCs w:val="20"/>
        </w:rPr>
        <w:t>See also</w:t>
      </w:r>
      <w:r w:rsidRPr="005D3022">
        <w:rPr>
          <w:sz w:val="20"/>
          <w:szCs w:val="20"/>
        </w:rPr>
        <w:t xml:space="preserve">  Baker 1997 "The 'Amnesty Aftermath: Current Policy Issues Stemming from the Legalization Programs of the 1986 Immigration Reform and Control Act," International Migration Review, 31(l):5-27.</w:t>
      </w:r>
      <w:r>
        <w:rPr>
          <w:sz w:val="20"/>
          <w:szCs w:val="20"/>
        </w:rPr>
        <w:t xml:space="preserve"> </w:t>
      </w:r>
    </w:p>
  </w:footnote>
  <w:footnote w:id="2">
    <w:p w:rsidR="00D16523" w:rsidRPr="00D656C1" w:rsidRDefault="00D16523" w:rsidP="00D16523">
      <w:pPr>
        <w:pStyle w:val="FootnoteText"/>
      </w:pPr>
      <w:r>
        <w:rPr>
          <w:rStyle w:val="FootnoteReference"/>
        </w:rPr>
        <w:t>2</w:t>
      </w:r>
      <w:r>
        <w:t xml:space="preserve"> </w:t>
      </w:r>
      <w:proofErr w:type="spellStart"/>
      <w:proofErr w:type="gramStart"/>
      <w:r>
        <w:rPr>
          <w:i/>
        </w:rPr>
        <w:t>Id.</w:t>
      </w:r>
      <w:r>
        <w:t>at</w:t>
      </w:r>
      <w:proofErr w:type="spellEnd"/>
      <w:r>
        <w:t xml:space="preserve"> 124, 94.</w:t>
      </w:r>
      <w:proofErr w:type="gramEnd"/>
    </w:p>
  </w:footnote>
  <w:footnote w:id="3">
    <w:p w:rsidR="00D16523" w:rsidRPr="00D656C1" w:rsidRDefault="00D16523" w:rsidP="00D16523">
      <w:pPr>
        <w:pStyle w:val="FootnoteText"/>
      </w:pPr>
      <w:r>
        <w:rPr>
          <w:rStyle w:val="FootnoteReference"/>
        </w:rPr>
        <w:t>3</w:t>
      </w:r>
      <w:r>
        <w:t xml:space="preserve"> </w:t>
      </w:r>
      <w:proofErr w:type="gramStart"/>
      <w:r>
        <w:rPr>
          <w:i/>
        </w:rPr>
        <w:t xml:space="preserve">Id. </w:t>
      </w:r>
      <w:r>
        <w:t>at 172.</w:t>
      </w:r>
      <w:proofErr w:type="gramEnd"/>
    </w:p>
  </w:footnote>
  <w:footnote w:id="4">
    <w:p w:rsidR="00D16523" w:rsidRPr="00D656C1" w:rsidRDefault="00D16523" w:rsidP="00D16523">
      <w:pPr>
        <w:pStyle w:val="FootnoteText"/>
      </w:pPr>
      <w:r>
        <w:rPr>
          <w:rStyle w:val="FootnoteReference"/>
        </w:rPr>
        <w:t>4</w:t>
      </w:r>
      <w:r>
        <w:t xml:space="preserve"> </w:t>
      </w:r>
      <w:proofErr w:type="gramStart"/>
      <w:r>
        <w:rPr>
          <w:i/>
        </w:rPr>
        <w:t xml:space="preserve">Id. </w:t>
      </w:r>
      <w:r>
        <w:t>at 121.</w:t>
      </w:r>
      <w:proofErr w:type="gramEnd"/>
      <w:r>
        <w:t xml:space="preserve"> The law that forced women to cede their citizenship when they married noncitizens was in effect from 1907 to 1931. The story of Fung Sing, a native-born American, illustrates the harsh effect of the law. Fung was born to Chinese parents in the United States in 1898 and went to China in the early 1900s where she married a Chinese subject. When her husband died, Fung tried to return to the United States. She was held as an alien and not allowed to enter. </w:t>
      </w:r>
    </w:p>
  </w:footnote>
  <w:footnote w:id="5">
    <w:p w:rsidR="00D16523" w:rsidRPr="000B08FA" w:rsidRDefault="00D16523" w:rsidP="00D16523">
      <w:pPr>
        <w:pStyle w:val="FootnoteText"/>
      </w:pPr>
      <w:r>
        <w:rPr>
          <w:rStyle w:val="FootnoteReference"/>
        </w:rPr>
        <w:t>5</w:t>
      </w:r>
      <w:r>
        <w:t xml:space="preserve"> </w:t>
      </w:r>
      <w:r>
        <w:rPr>
          <w:i/>
        </w:rPr>
        <w:t xml:space="preserve">Id. </w:t>
      </w:r>
      <w:r>
        <w:t>at 97-99.</w:t>
      </w:r>
    </w:p>
  </w:footnote>
  <w:footnote w:id="6">
    <w:p w:rsidR="00D16523" w:rsidRPr="000B08FA" w:rsidRDefault="00D16523" w:rsidP="00D16523">
      <w:pPr>
        <w:pStyle w:val="FootnoteText"/>
      </w:pPr>
      <w:r>
        <w:rPr>
          <w:rStyle w:val="FootnoteReference"/>
        </w:rPr>
        <w:t>6</w:t>
      </w:r>
      <w:r>
        <w:t xml:space="preserve"> </w:t>
      </w:r>
      <w:proofErr w:type="gramStart"/>
      <w:r>
        <w:rPr>
          <w:i/>
        </w:rPr>
        <w:t xml:space="preserve">Id. </w:t>
      </w:r>
      <w:r>
        <w:t>at 81.</w:t>
      </w:r>
      <w:proofErr w:type="gramEnd"/>
    </w:p>
  </w:footnote>
  <w:footnote w:id="7">
    <w:p w:rsidR="00D16523" w:rsidRDefault="00D16523" w:rsidP="00D16523">
      <w:pPr>
        <w:pStyle w:val="FootnoteText"/>
      </w:pPr>
      <w:r>
        <w:rPr>
          <w:rStyle w:val="FootnoteReference"/>
        </w:rPr>
        <w:t>7</w:t>
      </w:r>
      <w:r>
        <w:t xml:space="preserve"> </w:t>
      </w:r>
      <w:proofErr w:type="gramStart"/>
      <w:r>
        <w:rPr>
          <w:i/>
        </w:rPr>
        <w:t xml:space="preserve">Id. </w:t>
      </w:r>
      <w:r>
        <w:t>at 101.</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0429F"/>
    <w:multiLevelType w:val="hybridMultilevel"/>
    <w:tmpl w:val="469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593679"/>
    <w:rsid w:val="00072745"/>
    <w:rsid w:val="000F16F1"/>
    <w:rsid w:val="00136ACF"/>
    <w:rsid w:val="001452CD"/>
    <w:rsid w:val="00165A46"/>
    <w:rsid w:val="00223819"/>
    <w:rsid w:val="00226EEB"/>
    <w:rsid w:val="00232DAD"/>
    <w:rsid w:val="00262AB7"/>
    <w:rsid w:val="0028478E"/>
    <w:rsid w:val="00301BE3"/>
    <w:rsid w:val="00304815"/>
    <w:rsid w:val="0030685D"/>
    <w:rsid w:val="003128F3"/>
    <w:rsid w:val="00317419"/>
    <w:rsid w:val="00324A34"/>
    <w:rsid w:val="00347651"/>
    <w:rsid w:val="00350088"/>
    <w:rsid w:val="00353C2C"/>
    <w:rsid w:val="00382B4C"/>
    <w:rsid w:val="003A1457"/>
    <w:rsid w:val="003E0AEC"/>
    <w:rsid w:val="0044079A"/>
    <w:rsid w:val="00465B9F"/>
    <w:rsid w:val="004A448B"/>
    <w:rsid w:val="004A6E95"/>
    <w:rsid w:val="004D0418"/>
    <w:rsid w:val="00522E7C"/>
    <w:rsid w:val="0057774C"/>
    <w:rsid w:val="00586D01"/>
    <w:rsid w:val="00593679"/>
    <w:rsid w:val="005D04AB"/>
    <w:rsid w:val="005F4EF9"/>
    <w:rsid w:val="00602E58"/>
    <w:rsid w:val="00661967"/>
    <w:rsid w:val="00663415"/>
    <w:rsid w:val="00684B3E"/>
    <w:rsid w:val="00692DE8"/>
    <w:rsid w:val="006A796A"/>
    <w:rsid w:val="00795A3C"/>
    <w:rsid w:val="007E74C9"/>
    <w:rsid w:val="00826DA3"/>
    <w:rsid w:val="008830FD"/>
    <w:rsid w:val="008C779E"/>
    <w:rsid w:val="008D54D9"/>
    <w:rsid w:val="00925561"/>
    <w:rsid w:val="00985418"/>
    <w:rsid w:val="009B067B"/>
    <w:rsid w:val="00A052CE"/>
    <w:rsid w:val="00A317AA"/>
    <w:rsid w:val="00A416D0"/>
    <w:rsid w:val="00A5746A"/>
    <w:rsid w:val="00A76979"/>
    <w:rsid w:val="00AB328D"/>
    <w:rsid w:val="00AE235B"/>
    <w:rsid w:val="00B43487"/>
    <w:rsid w:val="00B567E9"/>
    <w:rsid w:val="00B714A3"/>
    <w:rsid w:val="00BC1B90"/>
    <w:rsid w:val="00BD1F8D"/>
    <w:rsid w:val="00C9240E"/>
    <w:rsid w:val="00CC0DAD"/>
    <w:rsid w:val="00CE6F73"/>
    <w:rsid w:val="00D106AB"/>
    <w:rsid w:val="00D16523"/>
    <w:rsid w:val="00D350EB"/>
    <w:rsid w:val="00D40A1C"/>
    <w:rsid w:val="00DD0EC2"/>
    <w:rsid w:val="00E42970"/>
    <w:rsid w:val="00EC7144"/>
    <w:rsid w:val="00ED3BB8"/>
    <w:rsid w:val="00EE19CB"/>
    <w:rsid w:val="00F10383"/>
    <w:rsid w:val="00F4204E"/>
    <w:rsid w:val="00F619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E19CB"/>
    <w:pPr>
      <w:autoSpaceDE w:val="0"/>
      <w:autoSpaceDN w:val="0"/>
      <w:adjustRightInd w:val="0"/>
      <w:spacing w:after="0" w:line="288" w:lineRule="auto"/>
      <w:textAlignment w:val="center"/>
    </w:pPr>
    <w:rPr>
      <w:rFonts w:ascii="Times Regular" w:hAnsi="Times Regular" w:cs="Times Regular"/>
      <w:color w:val="000000"/>
      <w:sz w:val="24"/>
      <w:szCs w:val="24"/>
    </w:rPr>
  </w:style>
  <w:style w:type="paragraph" w:styleId="BalloonText">
    <w:name w:val="Balloon Text"/>
    <w:basedOn w:val="Normal"/>
    <w:link w:val="BalloonTextChar"/>
    <w:uiPriority w:val="99"/>
    <w:semiHidden/>
    <w:unhideWhenUsed/>
    <w:rsid w:val="00EE1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9CB"/>
    <w:rPr>
      <w:rFonts w:ascii="Tahoma" w:hAnsi="Tahoma" w:cs="Tahoma"/>
      <w:sz w:val="16"/>
      <w:szCs w:val="16"/>
    </w:rPr>
  </w:style>
  <w:style w:type="character" w:styleId="Strong">
    <w:name w:val="Strong"/>
    <w:basedOn w:val="DefaultParagraphFont"/>
    <w:uiPriority w:val="22"/>
    <w:qFormat/>
    <w:rsid w:val="00ED3BB8"/>
    <w:rPr>
      <w:b/>
      <w:bCs/>
    </w:rPr>
  </w:style>
  <w:style w:type="paragraph" w:styleId="Header">
    <w:name w:val="header"/>
    <w:basedOn w:val="Normal"/>
    <w:link w:val="HeaderChar"/>
    <w:uiPriority w:val="99"/>
    <w:semiHidden/>
    <w:unhideWhenUsed/>
    <w:rsid w:val="005936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3679"/>
    <w:rPr>
      <w:sz w:val="22"/>
      <w:szCs w:val="22"/>
    </w:rPr>
  </w:style>
  <w:style w:type="paragraph" w:styleId="Footer">
    <w:name w:val="footer"/>
    <w:basedOn w:val="Normal"/>
    <w:link w:val="FooterChar"/>
    <w:uiPriority w:val="99"/>
    <w:semiHidden/>
    <w:unhideWhenUsed/>
    <w:rsid w:val="005936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3679"/>
    <w:rPr>
      <w:sz w:val="22"/>
      <w:szCs w:val="22"/>
    </w:rPr>
  </w:style>
  <w:style w:type="paragraph" w:styleId="ListParagraph">
    <w:name w:val="List Paragraph"/>
    <w:basedOn w:val="Normal"/>
    <w:uiPriority w:val="34"/>
    <w:qFormat/>
    <w:rsid w:val="00D16523"/>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D1652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16523"/>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16523"/>
    <w:rPr>
      <w:vertAlign w:val="superscript"/>
    </w:rPr>
  </w:style>
</w:styles>
</file>

<file path=word/webSettings.xml><?xml version="1.0" encoding="utf-8"?>
<w:webSettings xmlns:r="http://schemas.openxmlformats.org/officeDocument/2006/relationships" xmlns:w="http://schemas.openxmlformats.org/wordprocessingml/2006/main">
  <w:divs>
    <w:div w:id="884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yfs2\wcrwc\ADMIN\Letterhead%20-%20CURRENT\Letterhead%2009%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447ED-C5BB-4A99-BDC2-26CF5F47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09 11</Template>
  <TotalTime>1</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International Rescue Committee</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emilyushershrair</dc:creator>
  <cp:keywords/>
  <dc:description/>
  <cp:lastModifiedBy>emilyushershrair</cp:lastModifiedBy>
  <cp:revision>2</cp:revision>
  <cp:lastPrinted>2009-01-09T20:41:00Z</cp:lastPrinted>
  <dcterms:created xsi:type="dcterms:W3CDTF">2013-03-12T20:50:00Z</dcterms:created>
  <dcterms:modified xsi:type="dcterms:W3CDTF">2013-03-12T20:50:00Z</dcterms:modified>
</cp:coreProperties>
</file>